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cs="宋体"/>
          <w:color w:val="000000"/>
          <w:kern w:val="0"/>
          <w:sz w:val="44"/>
          <w:szCs w:val="44"/>
          <w:lang w:val="en-US" w:eastAsia="zh-CN"/>
        </w:rPr>
      </w:pPr>
    </w:p>
    <w:p>
      <w:pPr>
        <w:widowControl/>
        <w:jc w:val="left"/>
        <w:rPr>
          <w:rFonts w:ascii="黑体" w:hAnsi="黑体" w:eastAsia="黑体" w:cs="宋体"/>
          <w:color w:val="000000"/>
          <w:kern w:val="0"/>
          <w:sz w:val="44"/>
          <w:szCs w:val="44"/>
        </w:rPr>
      </w:pPr>
    </w:p>
    <w:p>
      <w:pPr>
        <w:widowControl/>
        <w:jc w:val="left"/>
        <w:rPr>
          <w:rFonts w:ascii="黑体" w:hAnsi="黑体" w:eastAsia="黑体" w:cs="宋体"/>
          <w:color w:val="000000"/>
          <w:kern w:val="0"/>
          <w:sz w:val="44"/>
          <w:szCs w:val="44"/>
        </w:rPr>
      </w:pPr>
    </w:p>
    <w:p>
      <w:pPr>
        <w:widowControl/>
        <w:jc w:val="left"/>
        <w:rPr>
          <w:rFonts w:ascii="黑体" w:hAnsi="黑体" w:eastAsia="黑体" w:cs="宋体"/>
          <w:color w:val="000000"/>
          <w:kern w:val="0"/>
          <w:sz w:val="44"/>
          <w:szCs w:val="44"/>
        </w:rPr>
      </w:pPr>
    </w:p>
    <w:p>
      <w:pPr>
        <w:jc w:val="center"/>
        <w:rPr>
          <w:rFonts w:hint="eastAsia" w:ascii="华文中宋" w:hAnsi="华文中宋" w:eastAsia="华文中宋" w:cs="Times New Roman"/>
          <w:sz w:val="44"/>
          <w:szCs w:val="44"/>
        </w:rPr>
      </w:pPr>
      <w:r>
        <w:rPr>
          <w:rFonts w:hint="eastAsia" w:ascii="华文中宋" w:hAnsi="华文中宋" w:eastAsia="华文中宋" w:cs="Times New Roman"/>
          <w:sz w:val="44"/>
          <w:szCs w:val="44"/>
          <w:lang w:val="en-US" w:eastAsia="zh-CN"/>
        </w:rPr>
        <w:t>大连市美食文化协会</w:t>
      </w:r>
      <w:r>
        <w:rPr>
          <w:rFonts w:hint="eastAsia" w:ascii="华文中宋" w:hAnsi="华文中宋" w:eastAsia="华文中宋" w:cs="Times New Roman"/>
          <w:sz w:val="44"/>
          <w:szCs w:val="44"/>
        </w:rPr>
        <w:t>团体标准</w:t>
      </w:r>
    </w:p>
    <w:p>
      <w:pPr>
        <w:jc w:val="center"/>
        <w:rPr>
          <w:rFonts w:hint="eastAsia" w:ascii="华文中宋" w:hAnsi="华文中宋" w:eastAsia="华文中宋" w:cs="Times New Roman"/>
          <w:sz w:val="44"/>
          <w:szCs w:val="44"/>
        </w:rPr>
      </w:pPr>
      <w:r>
        <w:rPr>
          <w:rFonts w:hint="eastAsia" w:ascii="华文中宋" w:hAnsi="华文中宋" w:eastAsia="华文中宋" w:cs="Times New Roman"/>
          <w:sz w:val="44"/>
          <w:szCs w:val="44"/>
        </w:rPr>
        <w:t>《集体用餐</w:t>
      </w:r>
      <w:r>
        <w:rPr>
          <w:rFonts w:hint="eastAsia" w:ascii="华文中宋" w:hAnsi="华文中宋" w:eastAsia="华文中宋" w:cs="Times New Roman"/>
          <w:sz w:val="44"/>
          <w:szCs w:val="44"/>
          <w:lang w:val="en-US" w:eastAsia="zh-CN"/>
        </w:rPr>
        <w:t>服务</w:t>
      </w:r>
      <w:r>
        <w:rPr>
          <w:rFonts w:hint="eastAsia" w:ascii="华文中宋" w:hAnsi="华文中宋" w:eastAsia="华文中宋" w:cs="Times New Roman"/>
          <w:sz w:val="44"/>
          <w:szCs w:val="44"/>
          <w:lang w:eastAsia="zh-CN"/>
        </w:rPr>
        <w:t>通用</w:t>
      </w:r>
      <w:r>
        <w:rPr>
          <w:rFonts w:hint="eastAsia" w:ascii="华文中宋" w:hAnsi="华文中宋" w:eastAsia="华文中宋" w:cs="Times New Roman"/>
          <w:sz w:val="44"/>
          <w:szCs w:val="44"/>
        </w:rPr>
        <w:t>要求》</w:t>
      </w:r>
    </w:p>
    <w:p>
      <w:pPr>
        <w:spacing w:before="340" w:after="340" w:line="360" w:lineRule="auto"/>
        <w:jc w:val="center"/>
        <w:rPr>
          <w:rFonts w:ascii="华文中宋" w:hAnsi="华文中宋" w:eastAsia="华文中宋" w:cs="Times New Roman"/>
          <w:kern w:val="0"/>
          <w:sz w:val="44"/>
          <w:szCs w:val="44"/>
        </w:rPr>
      </w:pPr>
      <w:r>
        <w:rPr>
          <w:rFonts w:hint="eastAsia" w:ascii="华文中宋" w:hAnsi="华文中宋" w:eastAsia="华文中宋" w:cs="Times New Roman"/>
          <w:kern w:val="0"/>
          <w:sz w:val="44"/>
          <w:szCs w:val="44"/>
        </w:rPr>
        <w:t>编</w:t>
      </w:r>
      <w:r>
        <w:rPr>
          <w:rFonts w:hint="eastAsia" w:ascii="华文中宋" w:hAnsi="华文中宋" w:eastAsia="华文中宋" w:cs="Times New Roman"/>
          <w:kern w:val="0"/>
          <w:sz w:val="44"/>
          <w:szCs w:val="44"/>
          <w:lang w:val="en-US" w:eastAsia="zh-CN"/>
        </w:rPr>
        <w:t xml:space="preserve"> </w:t>
      </w:r>
      <w:r>
        <w:rPr>
          <w:rFonts w:hint="eastAsia" w:ascii="华文中宋" w:hAnsi="华文中宋" w:eastAsia="华文中宋" w:cs="Times New Roman"/>
          <w:kern w:val="0"/>
          <w:sz w:val="44"/>
          <w:szCs w:val="44"/>
        </w:rPr>
        <w:t>制</w:t>
      </w:r>
      <w:r>
        <w:rPr>
          <w:rFonts w:hint="eastAsia" w:ascii="华文中宋" w:hAnsi="华文中宋" w:eastAsia="华文中宋" w:cs="Times New Roman"/>
          <w:kern w:val="0"/>
          <w:sz w:val="44"/>
          <w:szCs w:val="44"/>
          <w:lang w:val="en-US" w:eastAsia="zh-CN"/>
        </w:rPr>
        <w:t xml:space="preserve"> </w:t>
      </w:r>
      <w:r>
        <w:rPr>
          <w:rFonts w:hint="eastAsia" w:ascii="华文中宋" w:hAnsi="华文中宋" w:eastAsia="华文中宋" w:cs="Times New Roman"/>
          <w:kern w:val="0"/>
          <w:sz w:val="44"/>
          <w:szCs w:val="44"/>
        </w:rPr>
        <w:t>说</w:t>
      </w:r>
      <w:r>
        <w:rPr>
          <w:rFonts w:hint="eastAsia" w:ascii="华文中宋" w:hAnsi="华文中宋" w:eastAsia="华文中宋" w:cs="Times New Roman"/>
          <w:kern w:val="0"/>
          <w:sz w:val="44"/>
          <w:szCs w:val="44"/>
          <w:lang w:val="en-US" w:eastAsia="zh-CN"/>
        </w:rPr>
        <w:t xml:space="preserve"> </w:t>
      </w:r>
      <w:r>
        <w:rPr>
          <w:rFonts w:hint="eastAsia" w:ascii="华文中宋" w:hAnsi="华文中宋" w:eastAsia="华文中宋" w:cs="Times New Roman"/>
          <w:kern w:val="0"/>
          <w:sz w:val="44"/>
          <w:szCs w:val="44"/>
        </w:rPr>
        <w:t>明</w:t>
      </w:r>
    </w:p>
    <w:p>
      <w:pPr>
        <w:widowControl/>
        <w:jc w:val="center"/>
        <w:rPr>
          <w:rFonts w:ascii="黑体" w:hAnsi="黑体" w:eastAsia="黑体" w:cs="宋体"/>
          <w:color w:val="000000"/>
          <w:kern w:val="0"/>
          <w:sz w:val="44"/>
          <w:szCs w:val="44"/>
        </w:rPr>
      </w:pPr>
    </w:p>
    <w:p>
      <w:pPr>
        <w:widowControl/>
        <w:jc w:val="left"/>
        <w:rPr>
          <w:rFonts w:ascii="黑体" w:hAnsi="黑体" w:eastAsia="黑体" w:cs="宋体"/>
          <w:color w:val="000000"/>
          <w:kern w:val="0"/>
          <w:sz w:val="44"/>
          <w:szCs w:val="44"/>
        </w:rPr>
      </w:pPr>
    </w:p>
    <w:p>
      <w:pPr>
        <w:widowControl/>
        <w:jc w:val="left"/>
        <w:rPr>
          <w:rFonts w:ascii="黑体" w:hAnsi="黑体" w:eastAsia="黑体" w:cs="宋体"/>
          <w:color w:val="000000"/>
          <w:kern w:val="0"/>
          <w:sz w:val="44"/>
          <w:szCs w:val="44"/>
        </w:rPr>
      </w:pPr>
    </w:p>
    <w:p>
      <w:pPr>
        <w:widowControl/>
        <w:jc w:val="left"/>
        <w:rPr>
          <w:rFonts w:ascii="黑体" w:hAnsi="黑体" w:eastAsia="黑体" w:cs="宋体"/>
          <w:color w:val="000000"/>
          <w:kern w:val="0"/>
          <w:sz w:val="44"/>
          <w:szCs w:val="44"/>
        </w:rPr>
      </w:pPr>
    </w:p>
    <w:p>
      <w:pPr>
        <w:widowControl/>
        <w:jc w:val="left"/>
        <w:rPr>
          <w:rFonts w:ascii="黑体" w:hAnsi="黑体" w:eastAsia="黑体" w:cs="宋体"/>
          <w:color w:val="000000"/>
          <w:kern w:val="0"/>
          <w:sz w:val="44"/>
          <w:szCs w:val="44"/>
        </w:rPr>
      </w:pPr>
    </w:p>
    <w:p>
      <w:pPr>
        <w:widowControl/>
        <w:jc w:val="left"/>
        <w:rPr>
          <w:rFonts w:ascii="黑体" w:hAnsi="黑体" w:eastAsia="黑体" w:cs="宋体"/>
          <w:color w:val="000000"/>
          <w:kern w:val="0"/>
          <w:sz w:val="44"/>
          <w:szCs w:val="44"/>
        </w:rPr>
      </w:pPr>
    </w:p>
    <w:p>
      <w:pPr>
        <w:widowControl/>
        <w:jc w:val="left"/>
        <w:rPr>
          <w:rFonts w:ascii="黑体" w:hAnsi="黑体" w:eastAsia="黑体" w:cs="宋体"/>
          <w:color w:val="000000"/>
          <w:kern w:val="0"/>
          <w:sz w:val="44"/>
          <w:szCs w:val="44"/>
        </w:rPr>
      </w:pPr>
    </w:p>
    <w:p>
      <w:pPr>
        <w:widowControl/>
        <w:jc w:val="center"/>
        <w:rPr>
          <w:rFonts w:ascii="黑体" w:hAnsi="黑体" w:eastAsia="黑体" w:cs="宋体"/>
          <w:color w:val="000000"/>
          <w:kern w:val="0"/>
          <w:sz w:val="44"/>
          <w:szCs w:val="44"/>
        </w:rPr>
      </w:pPr>
    </w:p>
    <w:p>
      <w:pPr>
        <w:widowControl/>
        <w:jc w:val="center"/>
        <w:rPr>
          <w:rFonts w:ascii="宋体" w:hAnsi="宋体" w:eastAsia="宋体" w:cs="宋体"/>
          <w:kern w:val="0"/>
          <w:sz w:val="24"/>
          <w:szCs w:val="24"/>
        </w:rPr>
      </w:pPr>
      <w:r>
        <w:rPr>
          <w:rFonts w:hint="eastAsia" w:ascii="黑体" w:hAnsi="黑体" w:eastAsia="黑体" w:cs="宋体"/>
          <w:color w:val="000000"/>
          <w:kern w:val="0"/>
          <w:sz w:val="44"/>
          <w:szCs w:val="44"/>
        </w:rPr>
        <w:t>2</w:t>
      </w:r>
      <w:r>
        <w:rPr>
          <w:rFonts w:ascii="黑体" w:hAnsi="黑体" w:eastAsia="黑体" w:cs="宋体"/>
          <w:color w:val="000000"/>
          <w:kern w:val="0"/>
          <w:sz w:val="44"/>
          <w:szCs w:val="44"/>
        </w:rPr>
        <w:t>023</w:t>
      </w:r>
      <w:r>
        <w:rPr>
          <w:rFonts w:hint="eastAsia" w:ascii="黑体" w:hAnsi="黑体" w:eastAsia="黑体" w:cs="宋体"/>
          <w:color w:val="000000"/>
          <w:kern w:val="0"/>
          <w:sz w:val="44"/>
          <w:szCs w:val="44"/>
        </w:rPr>
        <w:t>年</w:t>
      </w:r>
      <w:r>
        <w:rPr>
          <w:rFonts w:hint="eastAsia" w:ascii="黑体" w:hAnsi="黑体" w:eastAsia="黑体" w:cs="宋体"/>
          <w:color w:val="000000"/>
          <w:kern w:val="0"/>
          <w:sz w:val="44"/>
          <w:szCs w:val="44"/>
          <w:lang w:val="en-US" w:eastAsia="zh-CN"/>
        </w:rPr>
        <w:t>12</w:t>
      </w:r>
      <w:r>
        <w:rPr>
          <w:rFonts w:hint="eastAsia" w:ascii="黑体" w:hAnsi="黑体" w:eastAsia="黑体" w:cs="宋体"/>
          <w:color w:val="000000"/>
          <w:kern w:val="0"/>
          <w:sz w:val="44"/>
          <w:szCs w:val="44"/>
        </w:rPr>
        <w:t>月</w:t>
      </w:r>
    </w:p>
    <w:p>
      <w:pPr>
        <w:widowControl/>
        <w:jc w:val="center"/>
        <w:rPr>
          <w:rFonts w:ascii="黑体" w:hAnsi="黑体" w:eastAsia="黑体" w:cs="Times New Roman"/>
          <w:sz w:val="32"/>
          <w:szCs w:val="32"/>
        </w:rPr>
      </w:pPr>
      <w:r>
        <w:rPr>
          <w:rFonts w:ascii="黑体" w:hAnsi="黑体" w:eastAsia="黑体" w:cs="Times New Roman"/>
          <w:sz w:val="32"/>
          <w:szCs w:val="32"/>
        </w:rPr>
        <w:br w:type="page"/>
      </w:r>
    </w:p>
    <w:p>
      <w:pPr>
        <w:spacing w:before="312" w:beforeLines="100" w:after="312" w:afterLines="100" w:line="560" w:lineRule="exact"/>
        <w:jc w:val="center"/>
        <w:rPr>
          <w:rFonts w:hint="eastAsia" w:ascii="Times New Roman" w:hAnsi="华文中宋" w:eastAsia="华文中宋" w:cs="Times New Roman"/>
          <w:sz w:val="44"/>
          <w:szCs w:val="44"/>
        </w:rPr>
      </w:pPr>
      <w:r>
        <w:rPr>
          <w:rFonts w:hint="eastAsia" w:ascii="Times New Roman" w:hAnsi="华文中宋" w:eastAsia="华文中宋" w:cs="Times New Roman"/>
          <w:sz w:val="44"/>
          <w:szCs w:val="44"/>
          <w:lang w:val="en-US" w:eastAsia="zh-CN"/>
        </w:rPr>
        <w:t>大连市美食文化协会</w:t>
      </w:r>
      <w:r>
        <w:rPr>
          <w:rFonts w:hint="eastAsia" w:ascii="Times New Roman" w:hAnsi="华文中宋" w:eastAsia="华文中宋" w:cs="Times New Roman"/>
          <w:sz w:val="44"/>
          <w:szCs w:val="44"/>
        </w:rPr>
        <w:t>团体标准</w:t>
      </w:r>
    </w:p>
    <w:p>
      <w:pPr>
        <w:spacing w:before="312" w:beforeLines="100" w:after="312" w:afterLines="100" w:line="560" w:lineRule="exact"/>
        <w:jc w:val="center"/>
        <w:rPr>
          <w:rFonts w:hint="eastAsia" w:ascii="Times New Roman" w:hAnsi="华文中宋" w:eastAsia="华文中宋" w:cs="Times New Roman"/>
          <w:sz w:val="44"/>
          <w:szCs w:val="44"/>
        </w:rPr>
      </w:pPr>
      <w:r>
        <w:rPr>
          <w:rFonts w:hint="eastAsia" w:ascii="Times New Roman" w:hAnsi="华文中宋" w:eastAsia="华文中宋" w:cs="Times New Roman"/>
          <w:sz w:val="44"/>
          <w:szCs w:val="44"/>
        </w:rPr>
        <w:t>《</w:t>
      </w:r>
      <w:r>
        <w:rPr>
          <w:rFonts w:hint="eastAsia" w:ascii="Times New Roman" w:hAnsi="华文中宋" w:eastAsia="华文中宋" w:cs="Times New Roman"/>
          <w:sz w:val="44"/>
          <w:szCs w:val="44"/>
          <w:lang w:eastAsia="zh-CN"/>
        </w:rPr>
        <w:t>集体用餐</w:t>
      </w:r>
      <w:r>
        <w:rPr>
          <w:rFonts w:hint="eastAsia" w:ascii="Times New Roman" w:hAnsi="华文中宋" w:eastAsia="华文中宋" w:cs="Times New Roman"/>
          <w:sz w:val="44"/>
          <w:szCs w:val="44"/>
          <w:lang w:val="en-US" w:eastAsia="zh-CN"/>
        </w:rPr>
        <w:t>服务</w:t>
      </w:r>
      <w:r>
        <w:rPr>
          <w:rFonts w:hint="eastAsia" w:ascii="Times New Roman" w:hAnsi="华文中宋" w:eastAsia="华文中宋" w:cs="Times New Roman"/>
          <w:sz w:val="44"/>
          <w:szCs w:val="44"/>
          <w:lang w:eastAsia="zh-CN"/>
        </w:rPr>
        <w:t>通用要求</w:t>
      </w:r>
      <w:r>
        <w:rPr>
          <w:rFonts w:hint="eastAsia" w:ascii="Times New Roman" w:hAnsi="华文中宋" w:eastAsia="华文中宋" w:cs="Times New Roman"/>
          <w:sz w:val="44"/>
          <w:szCs w:val="44"/>
        </w:rPr>
        <w:t>》</w:t>
      </w:r>
    </w:p>
    <w:p>
      <w:pPr>
        <w:spacing w:before="312" w:beforeLines="100" w:after="312" w:afterLines="100" w:line="560" w:lineRule="exact"/>
        <w:jc w:val="center"/>
        <w:rPr>
          <w:rFonts w:hint="eastAsia" w:ascii="Times New Roman" w:hAnsi="华文中宋" w:eastAsia="华文中宋" w:cs="Times New Roman"/>
          <w:sz w:val="44"/>
          <w:szCs w:val="44"/>
        </w:rPr>
      </w:pPr>
      <w:r>
        <w:rPr>
          <w:rFonts w:hint="eastAsia" w:ascii="Times New Roman" w:hAnsi="华文中宋" w:eastAsia="华文中宋" w:cs="Times New Roman"/>
          <w:sz w:val="44"/>
          <w:szCs w:val="44"/>
        </w:rPr>
        <w:t>编制说明</w:t>
      </w:r>
    </w:p>
    <w:p>
      <w:pPr>
        <w:pStyle w:val="23"/>
        <w:numPr>
          <w:ilvl w:val="0"/>
          <w:numId w:val="5"/>
        </w:numPr>
        <w:spacing w:before="93" w:after="93"/>
        <w:ind w:firstLineChars="0"/>
      </w:pPr>
      <w:r>
        <w:rPr>
          <w:rFonts w:hint="eastAsia"/>
        </w:rPr>
        <w:t>工作简介</w:t>
      </w:r>
    </w:p>
    <w:p>
      <w:pPr>
        <w:pStyle w:val="24"/>
        <w:numPr>
          <w:ilvl w:val="0"/>
          <w:numId w:val="6"/>
        </w:numPr>
        <w:ind w:firstLineChars="0"/>
      </w:pPr>
      <w:r>
        <w:rPr>
          <w:rFonts w:hint="eastAsia"/>
        </w:rPr>
        <w:t>任务来源</w:t>
      </w:r>
    </w:p>
    <w:p>
      <w:pPr>
        <w:pStyle w:val="24"/>
        <w:ind w:firstLine="560"/>
        <w:rPr>
          <w:rFonts w:ascii="宋体" w:hAnsi="Times New Roman" w:eastAsia="仿宋_GB2312" w:cs="Times New Roman"/>
          <w:color w:val="000000" w:themeColor="text1"/>
          <w:kern w:val="0"/>
          <w:sz w:val="28"/>
          <w:szCs w:val="20"/>
          <w14:textFill>
            <w14:solidFill>
              <w14:schemeClr w14:val="tx1"/>
            </w14:solidFill>
          </w14:textFill>
        </w:rPr>
      </w:pPr>
      <w:r>
        <w:rPr>
          <w:rFonts w:hint="eastAsia" w:ascii="宋体" w:hAnsi="Times New Roman" w:eastAsia="仿宋_GB2312" w:cs="Times New Roman"/>
          <w:color w:val="000000" w:themeColor="text1"/>
          <w:kern w:val="0"/>
          <w:sz w:val="28"/>
          <w:szCs w:val="20"/>
          <w14:textFill>
            <w14:solidFill>
              <w14:schemeClr w14:val="tx1"/>
            </w14:solidFill>
          </w14:textFill>
        </w:rPr>
        <w:t>按照《大连市</w:t>
      </w:r>
      <w:r>
        <w:rPr>
          <w:rFonts w:hint="eastAsia" w:ascii="宋体" w:hAnsi="Times New Roman" w:eastAsia="仿宋_GB2312" w:cs="Times New Roman"/>
          <w:color w:val="000000" w:themeColor="text1"/>
          <w:kern w:val="0"/>
          <w:sz w:val="28"/>
          <w:szCs w:val="20"/>
          <w:lang w:val="en-US" w:eastAsia="zh-CN"/>
          <w14:textFill>
            <w14:solidFill>
              <w14:schemeClr w14:val="tx1"/>
            </w14:solidFill>
          </w14:textFill>
        </w:rPr>
        <w:t>美食文化</w:t>
      </w:r>
      <w:r>
        <w:rPr>
          <w:rFonts w:hint="eastAsia" w:ascii="宋体" w:hAnsi="Times New Roman" w:eastAsia="仿宋_GB2312" w:cs="Times New Roman"/>
          <w:color w:val="000000" w:themeColor="text1"/>
          <w:kern w:val="0"/>
          <w:sz w:val="28"/>
          <w:szCs w:val="20"/>
          <w14:textFill>
            <w14:solidFill>
              <w14:schemeClr w14:val="tx1"/>
            </w14:solidFill>
          </w14:textFill>
        </w:rPr>
        <w:t>协会团体标准管理办法》，经协会批准《</w:t>
      </w:r>
      <w:r>
        <w:rPr>
          <w:rFonts w:hint="eastAsia" w:ascii="宋体" w:hAnsi="Times New Roman" w:eastAsia="仿宋_GB2312" w:cs="Times New Roman"/>
          <w:color w:val="000000" w:themeColor="text1"/>
          <w:kern w:val="0"/>
          <w:sz w:val="28"/>
          <w:szCs w:val="20"/>
          <w:lang w:eastAsia="zh-CN"/>
          <w14:textFill>
            <w14:solidFill>
              <w14:schemeClr w14:val="tx1"/>
            </w14:solidFill>
          </w14:textFill>
        </w:rPr>
        <w:t>集体用餐</w:t>
      </w:r>
      <w:r>
        <w:rPr>
          <w:rFonts w:hint="eastAsia" w:ascii="宋体" w:hAnsi="Times New Roman" w:eastAsia="仿宋_GB2312" w:cs="Times New Roman"/>
          <w:color w:val="000000" w:themeColor="text1"/>
          <w:kern w:val="0"/>
          <w:sz w:val="28"/>
          <w:szCs w:val="20"/>
          <w:lang w:val="en-US" w:eastAsia="zh-CN"/>
          <w14:textFill>
            <w14:solidFill>
              <w14:schemeClr w14:val="tx1"/>
            </w14:solidFill>
          </w14:textFill>
        </w:rPr>
        <w:t>服务</w:t>
      </w:r>
      <w:r>
        <w:rPr>
          <w:rFonts w:hint="eastAsia" w:ascii="宋体" w:hAnsi="Times New Roman" w:eastAsia="仿宋_GB2312" w:cs="Times New Roman"/>
          <w:color w:val="000000" w:themeColor="text1"/>
          <w:kern w:val="0"/>
          <w:sz w:val="28"/>
          <w:szCs w:val="20"/>
          <w:lang w:eastAsia="zh-CN"/>
          <w14:textFill>
            <w14:solidFill>
              <w14:schemeClr w14:val="tx1"/>
            </w14:solidFill>
          </w14:textFill>
        </w:rPr>
        <w:t>通用要求</w:t>
      </w:r>
      <w:r>
        <w:rPr>
          <w:rFonts w:hint="eastAsia" w:ascii="宋体" w:hAnsi="Times New Roman" w:eastAsia="仿宋_GB2312" w:cs="Times New Roman"/>
          <w:color w:val="000000" w:themeColor="text1"/>
          <w:kern w:val="0"/>
          <w:sz w:val="28"/>
          <w:szCs w:val="20"/>
          <w14:textFill>
            <w14:solidFill>
              <w14:schemeClr w14:val="tx1"/>
            </w14:solidFill>
          </w14:textFill>
        </w:rPr>
        <w:t>》立项为202</w:t>
      </w:r>
      <w:r>
        <w:rPr>
          <w:rFonts w:hint="eastAsia" w:ascii="宋体" w:hAnsi="Times New Roman" w:eastAsia="仿宋_GB2312" w:cs="Times New Roman"/>
          <w:color w:val="000000" w:themeColor="text1"/>
          <w:kern w:val="0"/>
          <w:sz w:val="28"/>
          <w:szCs w:val="20"/>
          <w:lang w:val="en-US" w:eastAsia="zh-CN"/>
          <w14:textFill>
            <w14:solidFill>
              <w14:schemeClr w14:val="tx1"/>
            </w14:solidFill>
          </w14:textFill>
        </w:rPr>
        <w:t>3</w:t>
      </w:r>
      <w:r>
        <w:rPr>
          <w:rFonts w:hint="eastAsia" w:ascii="宋体" w:hAnsi="Times New Roman" w:eastAsia="仿宋_GB2312" w:cs="Times New Roman"/>
          <w:color w:val="000000" w:themeColor="text1"/>
          <w:kern w:val="0"/>
          <w:sz w:val="28"/>
          <w:szCs w:val="20"/>
          <w14:textFill>
            <w14:solidFill>
              <w14:schemeClr w14:val="tx1"/>
            </w14:solidFill>
          </w14:textFill>
        </w:rPr>
        <w:t>年</w:t>
      </w:r>
      <w:r>
        <w:rPr>
          <w:rFonts w:hint="eastAsia" w:ascii="宋体" w:hAnsi="Times New Roman" w:eastAsia="仿宋_GB2312" w:cs="Times New Roman"/>
          <w:color w:val="000000" w:themeColor="text1"/>
          <w:kern w:val="0"/>
          <w:sz w:val="28"/>
          <w:szCs w:val="20"/>
          <w:lang w:val="en-US" w:eastAsia="zh-CN"/>
          <w14:textFill>
            <w14:solidFill>
              <w14:schemeClr w14:val="tx1"/>
            </w14:solidFill>
          </w14:textFill>
        </w:rPr>
        <w:t>大连市美食文化协会</w:t>
      </w:r>
      <w:r>
        <w:rPr>
          <w:rFonts w:hint="eastAsia" w:ascii="宋体" w:hAnsi="Times New Roman" w:eastAsia="仿宋_GB2312" w:cs="Times New Roman"/>
          <w:color w:val="000000" w:themeColor="text1"/>
          <w:kern w:val="0"/>
          <w:sz w:val="28"/>
          <w:szCs w:val="20"/>
          <w14:textFill>
            <w14:solidFill>
              <w14:schemeClr w14:val="tx1"/>
            </w14:solidFill>
          </w14:textFill>
        </w:rPr>
        <w:t>团体标准制定项目。</w:t>
      </w:r>
    </w:p>
    <w:p>
      <w:pPr>
        <w:pStyle w:val="24"/>
        <w:ind w:firstLine="600"/>
      </w:pPr>
      <w:r>
        <w:t>（二）</w:t>
      </w:r>
      <w:r>
        <w:rPr>
          <w:rFonts w:hint="eastAsia"/>
        </w:rPr>
        <w:t>制定标准的必要性和意义</w:t>
      </w:r>
    </w:p>
    <w:p>
      <w:pPr>
        <w:pStyle w:val="25"/>
        <w:ind w:firstLine="560"/>
        <w:rPr>
          <w:rFonts w:hint="eastAsia" w:ascii="宋体" w:hAnsi="Times New Roman" w:cs="Times New Roman"/>
          <w:color w:val="000000" w:themeColor="text1"/>
          <w14:textFill>
            <w14:solidFill>
              <w14:schemeClr w14:val="tx1"/>
            </w14:solidFill>
          </w14:textFill>
        </w:rPr>
      </w:pPr>
      <w:r>
        <w:rPr>
          <w:rFonts w:hint="eastAsia" w:ascii="宋体" w:hAnsi="Times New Roman" w:cs="Times New Roman"/>
          <w:color w:val="000000" w:themeColor="text1"/>
          <w14:textFill>
            <w14:solidFill>
              <w14:schemeClr w14:val="tx1"/>
            </w14:solidFill>
          </w14:textFill>
        </w:rPr>
        <w:t>集体用餐</w:t>
      </w:r>
      <w:r>
        <w:rPr>
          <w:rFonts w:hint="eastAsia" w:cs="Times New Roman"/>
          <w:color w:val="000000" w:themeColor="text1"/>
          <w:lang w:val="en-US" w:eastAsia="zh-CN"/>
          <w14:textFill>
            <w14:solidFill>
              <w14:schemeClr w14:val="tx1"/>
            </w14:solidFill>
          </w14:textFill>
        </w:rPr>
        <w:t>服务</w:t>
      </w:r>
      <w:r>
        <w:rPr>
          <w:rFonts w:hint="eastAsia" w:ascii="宋体" w:hAnsi="Times New Roman" w:cs="Times New Roman"/>
          <w:color w:val="000000" w:themeColor="text1"/>
          <w14:textFill>
            <w14:solidFill>
              <w14:schemeClr w14:val="tx1"/>
            </w14:solidFill>
          </w14:textFill>
        </w:rPr>
        <w:t>，范围已经覆盖到了学校食堂、</w:t>
      </w:r>
      <w:r>
        <w:rPr>
          <w:rFonts w:hint="eastAsia" w:cs="Times New Roman"/>
          <w:color w:val="000000" w:themeColor="text1"/>
          <w:lang w:val="en-US" w:eastAsia="zh-CN"/>
          <w14:textFill>
            <w14:solidFill>
              <w14:schemeClr w14:val="tx1"/>
            </w14:solidFill>
          </w14:textFill>
        </w:rPr>
        <w:t>养老机构、</w:t>
      </w:r>
      <w:r>
        <w:rPr>
          <w:rFonts w:hint="eastAsia" w:ascii="宋体" w:hAnsi="Times New Roman" w:cs="Times New Roman"/>
          <w:color w:val="000000" w:themeColor="text1"/>
          <w14:textFill>
            <w14:solidFill>
              <w14:schemeClr w14:val="tx1"/>
            </w14:solidFill>
          </w14:textFill>
        </w:rPr>
        <w:t>企事业单位等诸多人员密集型重点场所人员的供餐，</w:t>
      </w:r>
      <w:r>
        <w:rPr>
          <w:rFonts w:hint="eastAsia" w:cs="Times New Roman"/>
          <w:color w:val="000000" w:themeColor="text1"/>
          <w:lang w:val="en-US" w:eastAsia="zh-CN"/>
          <w14:textFill>
            <w14:solidFill>
              <w14:schemeClr w14:val="tx1"/>
            </w14:solidFill>
          </w14:textFill>
        </w:rPr>
        <w:t>服务要求、</w:t>
      </w:r>
      <w:r>
        <w:rPr>
          <w:rFonts w:hint="eastAsia" w:ascii="宋体" w:hAnsi="Times New Roman" w:cs="Times New Roman"/>
          <w:color w:val="000000" w:themeColor="text1"/>
          <w14:textFill>
            <w14:solidFill>
              <w14:schemeClr w14:val="tx1"/>
            </w14:solidFill>
          </w14:textFill>
        </w:rPr>
        <w:t>膳食的食品安全问题显得尤为重要。作为食品第三方检验机构，每年会承检大批量来自“集体</w:t>
      </w:r>
      <w:r>
        <w:rPr>
          <w:rFonts w:hint="eastAsia" w:ascii="宋体" w:hAnsi="Times New Roman" w:cs="Times New Roman"/>
          <w:color w:val="000000" w:themeColor="text1"/>
          <w:lang w:val="en-US" w:eastAsia="zh-CN"/>
          <w14:textFill>
            <w14:solidFill>
              <w14:schemeClr w14:val="tx1"/>
            </w14:solidFill>
          </w14:textFill>
        </w:rPr>
        <w:t>用</w:t>
      </w:r>
      <w:r>
        <w:rPr>
          <w:rFonts w:hint="eastAsia" w:ascii="宋体" w:hAnsi="Times New Roman" w:cs="Times New Roman"/>
          <w:color w:val="000000" w:themeColor="text1"/>
          <w14:textFill>
            <w14:solidFill>
              <w14:schemeClr w14:val="tx1"/>
            </w14:solidFill>
          </w14:textFill>
        </w:rPr>
        <w:t>餐单位食堂食品安全事件”和“食堂第三方监管服务”供餐膳食检测样品，</w:t>
      </w:r>
      <w:r>
        <w:rPr>
          <w:rFonts w:hint="eastAsia" w:ascii="宋体" w:hAnsi="Times New Roman" w:cs="Times New Roman"/>
          <w:color w:val="000000" w:themeColor="text1"/>
          <w:lang w:val="en-US" w:eastAsia="zh-CN"/>
          <w14:textFill>
            <w14:solidFill>
              <w14:schemeClr w14:val="tx1"/>
            </w14:solidFill>
          </w14:textFill>
        </w:rPr>
        <w:t>但</w:t>
      </w:r>
      <w:r>
        <w:rPr>
          <w:rFonts w:hint="eastAsia" w:ascii="宋体" w:hAnsi="Times New Roman" w:cs="Times New Roman"/>
          <w:color w:val="000000" w:themeColor="text1"/>
          <w14:textFill>
            <w14:solidFill>
              <w14:schemeClr w14:val="tx1"/>
            </w14:solidFill>
          </w14:textFill>
        </w:rPr>
        <w:t>当前无可参照的</w:t>
      </w:r>
      <w:r>
        <w:rPr>
          <w:rFonts w:hint="eastAsia" w:cs="Times New Roman"/>
          <w:color w:val="000000" w:themeColor="text1"/>
          <w:lang w:val="en-US" w:eastAsia="zh-CN"/>
          <w14:textFill>
            <w14:solidFill>
              <w14:schemeClr w14:val="tx1"/>
            </w14:solidFill>
          </w14:textFill>
        </w:rPr>
        <w:t>现行</w:t>
      </w:r>
      <w:r>
        <w:rPr>
          <w:rFonts w:hint="eastAsia" w:ascii="宋体" w:hAnsi="Times New Roman" w:cs="Times New Roman"/>
          <w:color w:val="000000" w:themeColor="text1"/>
          <w14:textFill>
            <w14:solidFill>
              <w14:schemeClr w14:val="tx1"/>
            </w14:solidFill>
          </w14:textFill>
        </w:rPr>
        <w:t>标准</w:t>
      </w:r>
      <w:r>
        <w:rPr>
          <w:rFonts w:hint="eastAsia" w:cs="Times New Roman"/>
          <w:color w:val="000000" w:themeColor="text1"/>
          <w:lang w:eastAsia="zh-CN"/>
          <w14:textFill>
            <w14:solidFill>
              <w14:schemeClr w14:val="tx1"/>
            </w14:solidFill>
          </w14:textFill>
        </w:rPr>
        <w:t>。</w:t>
      </w:r>
      <w:r>
        <w:rPr>
          <w:rFonts w:hint="eastAsia" w:ascii="宋体" w:hAnsi="Times New Roman" w:cs="Times New Roman"/>
          <w:color w:val="000000" w:themeColor="text1"/>
          <w14:textFill>
            <w14:solidFill>
              <w14:schemeClr w14:val="tx1"/>
            </w14:solidFill>
          </w14:textFill>
        </w:rPr>
        <w:t>因此，无法对辽宁省内集体用餐</w:t>
      </w:r>
      <w:r>
        <w:rPr>
          <w:rFonts w:hint="eastAsia" w:cs="Times New Roman"/>
          <w:color w:val="000000" w:themeColor="text1"/>
          <w:lang w:val="en-US" w:eastAsia="zh-CN"/>
          <w14:textFill>
            <w14:solidFill>
              <w14:schemeClr w14:val="tx1"/>
            </w14:solidFill>
          </w14:textFill>
        </w:rPr>
        <w:t>服务、</w:t>
      </w:r>
      <w:r>
        <w:rPr>
          <w:rFonts w:hint="eastAsia" w:ascii="宋体" w:hAnsi="Times New Roman" w:cs="Times New Roman"/>
          <w:color w:val="000000" w:themeColor="text1"/>
          <w:lang w:val="en-US" w:eastAsia="zh-CN"/>
          <w14:textFill>
            <w14:solidFill>
              <w14:schemeClr w14:val="tx1"/>
            </w14:solidFill>
          </w14:textFill>
        </w:rPr>
        <w:t>食品安全</w:t>
      </w:r>
      <w:r>
        <w:rPr>
          <w:rFonts w:hint="eastAsia" w:cs="Times New Roman"/>
          <w:color w:val="000000" w:themeColor="text1"/>
          <w:lang w:val="en-US" w:eastAsia="zh-CN"/>
          <w14:textFill>
            <w14:solidFill>
              <w14:schemeClr w14:val="tx1"/>
            </w14:solidFill>
          </w14:textFill>
        </w:rPr>
        <w:t>等</w:t>
      </w:r>
      <w:r>
        <w:rPr>
          <w:rFonts w:hint="eastAsia" w:ascii="宋体" w:hAnsi="Times New Roman" w:cs="Times New Roman"/>
          <w:color w:val="000000" w:themeColor="text1"/>
          <w:lang w:val="en-US" w:eastAsia="zh-CN"/>
          <w14:textFill>
            <w14:solidFill>
              <w14:schemeClr w14:val="tx1"/>
            </w14:solidFill>
          </w14:textFill>
        </w:rPr>
        <w:t>方面</w:t>
      </w:r>
      <w:r>
        <w:rPr>
          <w:rFonts w:hint="eastAsia" w:cs="Times New Roman"/>
          <w:color w:val="000000" w:themeColor="text1"/>
          <w:lang w:val="en-US" w:eastAsia="zh-CN"/>
          <w14:textFill>
            <w14:solidFill>
              <w14:schemeClr w14:val="tx1"/>
            </w14:solidFill>
          </w14:textFill>
        </w:rPr>
        <w:t>的检查、</w:t>
      </w:r>
      <w:r>
        <w:rPr>
          <w:rFonts w:hint="eastAsia" w:ascii="宋体" w:hAnsi="Times New Roman" w:cs="Times New Roman"/>
          <w:color w:val="000000" w:themeColor="text1"/>
          <w:lang w:val="en-US" w:eastAsia="zh-CN"/>
          <w14:textFill>
            <w14:solidFill>
              <w14:schemeClr w14:val="tx1"/>
            </w14:solidFill>
          </w14:textFill>
        </w:rPr>
        <w:t>检测</w:t>
      </w:r>
      <w:r>
        <w:rPr>
          <w:rFonts w:hint="eastAsia" w:ascii="宋体" w:hAnsi="Times New Roman" w:cs="Times New Roman"/>
          <w:color w:val="000000" w:themeColor="text1"/>
          <w14:textFill>
            <w14:solidFill>
              <w14:schemeClr w14:val="tx1"/>
            </w14:solidFill>
          </w14:textFill>
        </w:rPr>
        <w:t>结果进行评判，国家和行业层面又缺乏相关标准加以规范，因此</w:t>
      </w:r>
      <w:r>
        <w:rPr>
          <w:rFonts w:hint="eastAsia" w:cs="Times New Roman"/>
          <w:color w:val="000000" w:themeColor="text1"/>
          <w:lang w:val="en-US" w:eastAsia="zh-CN"/>
          <w14:textFill>
            <w14:solidFill>
              <w14:schemeClr w14:val="tx1"/>
            </w14:solidFill>
          </w14:textFill>
        </w:rPr>
        <w:t>急</w:t>
      </w:r>
      <w:r>
        <w:rPr>
          <w:rFonts w:hint="eastAsia" w:ascii="宋体" w:hAnsi="Times New Roman" w:cs="Times New Roman"/>
          <w:color w:val="000000" w:themeColor="text1"/>
          <w:lang w:val="en-US" w:eastAsia="zh-CN"/>
          <w14:textFill>
            <w14:solidFill>
              <w14:schemeClr w14:val="tx1"/>
            </w14:solidFill>
          </w14:textFill>
        </w:rPr>
        <w:t>需制定团体标准</w:t>
      </w:r>
      <w:r>
        <w:rPr>
          <w:rFonts w:hint="eastAsia" w:ascii="宋体" w:hAnsi="Times New Roman" w:cs="Times New Roman"/>
          <w:color w:val="000000" w:themeColor="text1"/>
          <w14:textFill>
            <w14:solidFill>
              <w14:schemeClr w14:val="tx1"/>
            </w14:solidFill>
          </w14:textFill>
        </w:rPr>
        <w:t>，旨在针对集体用餐</w:t>
      </w:r>
      <w:r>
        <w:rPr>
          <w:rFonts w:hint="eastAsia" w:cs="Times New Roman"/>
          <w:color w:val="000000" w:themeColor="text1"/>
          <w:lang w:val="en-US" w:eastAsia="zh-CN"/>
          <w14:textFill>
            <w14:solidFill>
              <w14:schemeClr w14:val="tx1"/>
            </w14:solidFill>
          </w14:textFill>
        </w:rPr>
        <w:t>服务</w:t>
      </w:r>
      <w:r>
        <w:rPr>
          <w:rFonts w:hint="eastAsia" w:ascii="宋体" w:hAnsi="Times New Roman" w:cs="Times New Roman"/>
          <w:color w:val="000000" w:themeColor="text1"/>
          <w14:textFill>
            <w14:solidFill>
              <w14:schemeClr w14:val="tx1"/>
            </w14:solidFill>
          </w14:textFill>
        </w:rPr>
        <w:t>作出要求，适用于集体用餐</w:t>
      </w:r>
      <w:r>
        <w:rPr>
          <w:rFonts w:hint="eastAsia" w:cs="Times New Roman"/>
          <w:color w:val="000000" w:themeColor="text1"/>
          <w:lang w:val="en-US" w:eastAsia="zh-CN"/>
          <w14:textFill>
            <w14:solidFill>
              <w14:schemeClr w14:val="tx1"/>
            </w14:solidFill>
          </w14:textFill>
        </w:rPr>
        <w:t>服务质量的</w:t>
      </w:r>
      <w:r>
        <w:rPr>
          <w:rFonts w:hint="eastAsia" w:ascii="宋体" w:hAnsi="Times New Roman" w:cs="Times New Roman"/>
          <w:color w:val="000000" w:themeColor="text1"/>
          <w14:textFill>
            <w14:solidFill>
              <w14:schemeClr w14:val="tx1"/>
            </w14:solidFill>
          </w14:textFill>
        </w:rPr>
        <w:t>评价，为集体用餐</w:t>
      </w:r>
      <w:r>
        <w:rPr>
          <w:rFonts w:hint="eastAsia" w:cs="Times New Roman"/>
          <w:color w:val="000000" w:themeColor="text1"/>
          <w:lang w:val="en-US" w:eastAsia="zh-CN"/>
          <w14:textFill>
            <w14:solidFill>
              <w14:schemeClr w14:val="tx1"/>
            </w14:solidFill>
          </w14:textFill>
        </w:rPr>
        <w:t>服务质量</w:t>
      </w:r>
      <w:r>
        <w:rPr>
          <w:rFonts w:hint="eastAsia" w:ascii="宋体" w:hAnsi="Times New Roman" w:cs="Times New Roman"/>
          <w:color w:val="000000" w:themeColor="text1"/>
          <w14:textFill>
            <w14:solidFill>
              <w14:schemeClr w14:val="tx1"/>
            </w14:solidFill>
          </w14:textFill>
        </w:rPr>
        <w:t>控制和质量监督提供可靠的依据和手段，有利于生产企业与管理部门在</w:t>
      </w:r>
      <w:r>
        <w:rPr>
          <w:rFonts w:hint="eastAsia" w:cs="Times New Roman"/>
          <w:color w:val="000000" w:themeColor="text1"/>
          <w:lang w:val="en-US" w:eastAsia="zh-CN"/>
          <w14:textFill>
            <w14:solidFill>
              <w14:schemeClr w14:val="tx1"/>
            </w14:solidFill>
          </w14:textFill>
        </w:rPr>
        <w:t>服务、</w:t>
      </w:r>
      <w:r>
        <w:rPr>
          <w:rFonts w:hint="eastAsia" w:ascii="宋体" w:hAnsi="Times New Roman" w:cs="Times New Roman"/>
          <w:color w:val="000000" w:themeColor="text1"/>
          <w14:textFill>
            <w14:solidFill>
              <w14:schemeClr w14:val="tx1"/>
            </w14:solidFill>
          </w14:textFill>
        </w:rPr>
        <w:t>质量管理方面的协调统一。</w:t>
      </w:r>
    </w:p>
    <w:p>
      <w:pPr>
        <w:pStyle w:val="24"/>
        <w:ind w:firstLine="600"/>
        <w:rPr>
          <w:rFonts w:hint="eastAsia"/>
        </w:rPr>
      </w:pPr>
      <w:r>
        <w:rPr>
          <w:rFonts w:hint="eastAsia"/>
        </w:rPr>
        <w:t>（三）起草单位</w:t>
      </w:r>
    </w:p>
    <w:p>
      <w:pPr>
        <w:pStyle w:val="25"/>
        <w:ind w:firstLine="560"/>
        <w:rPr>
          <w:rFonts w:hint="eastAsia" w:eastAsia="仿宋_GB2312"/>
          <w:lang w:val="en-US" w:eastAsia="zh-CN"/>
        </w:rPr>
      </w:pPr>
      <w:r>
        <w:rPr>
          <w:rFonts w:hint="eastAsia"/>
          <w:lang w:val="en-US" w:eastAsia="zh-CN"/>
        </w:rPr>
        <w:t>大连产品质量检验检测研究院有限公司</w:t>
      </w:r>
    </w:p>
    <w:p>
      <w:pPr>
        <w:pStyle w:val="24"/>
        <w:ind w:firstLine="600"/>
      </w:pPr>
      <w:r>
        <w:rPr>
          <w:rFonts w:hint="eastAsia"/>
        </w:rPr>
        <w:t>（四）协作单位</w:t>
      </w:r>
    </w:p>
    <w:p>
      <w:pPr>
        <w:spacing w:line="360" w:lineRule="auto"/>
        <w:ind w:firstLine="480" w:firstLineChars="200"/>
        <w:rPr>
          <w:rFonts w:hint="eastAsia"/>
          <w:color w:val="000000" w:themeColor="text1"/>
          <w:lang w:val="en-US" w:eastAsia="zh-CN"/>
          <w14:textFill>
            <w14:solidFill>
              <w14:schemeClr w14:val="tx1"/>
            </w14:solidFill>
          </w14:textFill>
        </w:rPr>
      </w:pPr>
      <w:r>
        <w:rPr>
          <w:rFonts w:hint="eastAsia" w:ascii="宋体" w:hAnsi="宋体"/>
          <w:sz w:val="24"/>
          <w:szCs w:val="24"/>
        </w:rPr>
        <w:t>大连标准</w:t>
      </w:r>
      <w:r>
        <w:rPr>
          <w:rFonts w:hint="eastAsia" w:ascii="宋体" w:hAnsi="宋体"/>
          <w:sz w:val="24"/>
          <w:szCs w:val="24"/>
          <w:lang w:val="en-US" w:eastAsia="zh-CN"/>
        </w:rPr>
        <w:t>认证</w:t>
      </w:r>
      <w:r>
        <w:rPr>
          <w:rFonts w:hint="eastAsia" w:ascii="宋体" w:hAnsi="宋体"/>
          <w:sz w:val="24"/>
          <w:szCs w:val="24"/>
        </w:rPr>
        <w:t>研究院有限公司。</w:t>
      </w:r>
    </w:p>
    <w:p>
      <w:pPr>
        <w:pStyle w:val="24"/>
        <w:ind w:firstLine="600"/>
        <w:rPr>
          <w:color w:val="000000" w:themeColor="text1"/>
          <w14:textFill>
            <w14:solidFill>
              <w14:schemeClr w14:val="tx1"/>
            </w14:solidFill>
          </w14:textFill>
        </w:rPr>
      </w:pPr>
      <w:r>
        <w:rPr>
          <w:rFonts w:hint="eastAsia"/>
        </w:rPr>
        <w:t>（五）</w:t>
      </w:r>
      <w:r>
        <w:rPr>
          <w:rFonts w:hint="eastAsia"/>
          <w:color w:val="000000" w:themeColor="text1"/>
          <w14:textFill>
            <w14:solidFill>
              <w14:schemeClr w14:val="tx1"/>
            </w14:solidFill>
          </w14:textFill>
        </w:rPr>
        <w:t>主要起草人及其所做的工作</w:t>
      </w:r>
    </w:p>
    <w:tbl>
      <w:tblPr>
        <w:tblStyle w:val="9"/>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765" w:type="dxa"/>
            <w:vAlign w:val="center"/>
          </w:tcPr>
          <w:p>
            <w:pPr>
              <w:jc w:val="center"/>
              <w:rPr>
                <w:rFonts w:ascii="宋体" w:hAnsi="宋体" w:eastAsia="宋体"/>
              </w:rPr>
            </w:pPr>
            <w:r>
              <w:rPr>
                <w:rFonts w:hint="eastAsia" w:ascii="宋体" w:hAnsi="宋体" w:eastAsia="宋体"/>
              </w:rPr>
              <w:t>起草单位（排名不分先后）</w:t>
            </w:r>
          </w:p>
        </w:tc>
        <w:tc>
          <w:tcPr>
            <w:tcW w:w="2765" w:type="dxa"/>
            <w:vAlign w:val="center"/>
          </w:tcPr>
          <w:p>
            <w:pPr>
              <w:jc w:val="center"/>
              <w:rPr>
                <w:rFonts w:ascii="宋体" w:hAnsi="宋体" w:eastAsia="宋体"/>
              </w:rPr>
            </w:pPr>
            <w:r>
              <w:rPr>
                <w:rFonts w:hint="eastAsia" w:ascii="宋体" w:hAnsi="宋体" w:eastAsia="宋体"/>
              </w:rPr>
              <w:t>成员</w:t>
            </w:r>
          </w:p>
        </w:tc>
        <w:tc>
          <w:tcPr>
            <w:tcW w:w="2829" w:type="dxa"/>
            <w:vAlign w:val="center"/>
          </w:tcPr>
          <w:p>
            <w:pPr>
              <w:jc w:val="center"/>
              <w:rPr>
                <w:rFonts w:ascii="宋体" w:hAnsi="宋体" w:eastAsia="宋体"/>
              </w:rPr>
            </w:pPr>
            <w:r>
              <w:rPr>
                <w:rFonts w:hint="eastAsia" w:ascii="宋体" w:hAnsi="宋体" w:eastAsia="宋体"/>
              </w:rPr>
              <w:t>主要工作（按标准进程排序）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2765" w:type="dxa"/>
            <w:vAlign w:val="center"/>
          </w:tcPr>
          <w:p>
            <w:pPr>
              <w:jc w:val="center"/>
              <w:rPr>
                <w:rFonts w:ascii="宋体" w:hAnsi="宋体" w:eastAsia="宋体"/>
              </w:rPr>
            </w:pPr>
            <w:r>
              <w:rPr>
                <w:rFonts w:hint="eastAsia"/>
                <w:lang w:val="en-US" w:eastAsia="zh-CN"/>
              </w:rPr>
              <w:t>大连产品质量检验检测研究院有限公司</w:t>
            </w:r>
          </w:p>
        </w:tc>
        <w:tc>
          <w:tcPr>
            <w:tcW w:w="2765" w:type="dxa"/>
            <w:vAlign w:val="center"/>
          </w:tcPr>
          <w:p>
            <w:pPr>
              <w:jc w:val="center"/>
              <w:rPr>
                <w:rFonts w:hint="eastAsia" w:ascii="宋体" w:hAnsi="宋体" w:eastAsia="宋体"/>
                <w:lang w:eastAsia="zh-CN"/>
              </w:rPr>
            </w:pPr>
            <w:r>
              <w:rPr>
                <w:rFonts w:hint="eastAsia" w:ascii="宋体" w:hAnsi="宋体" w:eastAsia="宋体"/>
                <w:lang w:val="en-US" w:eastAsia="zh-CN"/>
              </w:rPr>
              <w:t>吴海霞</w:t>
            </w:r>
          </w:p>
        </w:tc>
        <w:tc>
          <w:tcPr>
            <w:tcW w:w="2829" w:type="dxa"/>
            <w:vAlign w:val="center"/>
          </w:tcPr>
          <w:p>
            <w:pPr>
              <w:jc w:val="center"/>
              <w:rPr>
                <w:rFonts w:ascii="宋体" w:hAnsi="宋体" w:eastAsia="宋体"/>
              </w:rPr>
            </w:pPr>
            <w:r>
              <w:rPr>
                <w:rFonts w:hint="eastAsia" w:ascii="宋体" w:hAnsi="宋体" w:eastAsia="宋体"/>
              </w:rPr>
              <w:t>牵头成立标准编制工作组。</w:t>
            </w:r>
            <w:r>
              <w:rPr>
                <w:rFonts w:ascii="宋体" w:hAnsi="宋体" w:eastAsia="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2765" w:type="dxa"/>
            <w:vAlign w:val="center"/>
          </w:tcPr>
          <w:p>
            <w:pPr>
              <w:jc w:val="center"/>
              <w:rPr>
                <w:rFonts w:ascii="宋体" w:hAnsi="宋体" w:eastAsia="宋体"/>
              </w:rPr>
            </w:pPr>
            <w:r>
              <w:rPr>
                <w:rFonts w:hint="eastAsia"/>
                <w:lang w:val="en-US" w:eastAsia="zh-CN"/>
              </w:rPr>
              <w:t>大连产品质量检验检测研究院有限公司</w:t>
            </w:r>
          </w:p>
        </w:tc>
        <w:tc>
          <w:tcPr>
            <w:tcW w:w="2765" w:type="dxa"/>
            <w:vAlign w:val="center"/>
          </w:tcPr>
          <w:p>
            <w:pPr>
              <w:jc w:val="center"/>
              <w:rPr>
                <w:rFonts w:hint="eastAsia" w:ascii="宋体" w:hAnsi="宋体" w:eastAsia="宋体"/>
                <w:lang w:eastAsia="zh-CN"/>
              </w:rPr>
            </w:pPr>
            <w:r>
              <w:rPr>
                <w:rFonts w:hint="eastAsia" w:ascii="宋体" w:hAnsi="宋体" w:eastAsia="宋体"/>
                <w:lang w:val="en-US" w:eastAsia="zh-CN"/>
              </w:rPr>
              <w:t>王海婷</w:t>
            </w:r>
          </w:p>
        </w:tc>
        <w:tc>
          <w:tcPr>
            <w:tcW w:w="2829" w:type="dxa"/>
            <w:vAlign w:val="center"/>
          </w:tcPr>
          <w:p>
            <w:pPr>
              <w:jc w:val="center"/>
              <w:rPr>
                <w:rFonts w:ascii="宋体" w:hAnsi="宋体" w:eastAsia="宋体"/>
              </w:rPr>
            </w:pPr>
            <w:r>
              <w:rPr>
                <w:rFonts w:ascii="宋体" w:hAnsi="宋体" w:eastAsia="宋体"/>
              </w:rPr>
              <w:t>负责协调编制组工作安排。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jc w:val="center"/>
              <w:rPr>
                <w:rFonts w:ascii="宋体" w:hAnsi="宋体" w:eastAsia="宋体"/>
              </w:rPr>
            </w:pPr>
            <w:r>
              <w:rPr>
                <w:rFonts w:hint="eastAsia"/>
                <w:lang w:val="en-US" w:eastAsia="zh-CN"/>
              </w:rPr>
              <w:t>大连产品质量检验检测研究院有限公司</w:t>
            </w:r>
          </w:p>
        </w:tc>
        <w:tc>
          <w:tcPr>
            <w:tcW w:w="2765" w:type="dxa"/>
            <w:vAlign w:val="center"/>
          </w:tcPr>
          <w:p>
            <w:pPr>
              <w:jc w:val="center"/>
              <w:rPr>
                <w:rFonts w:hint="default" w:ascii="宋体" w:hAnsi="宋体" w:eastAsia="宋体"/>
                <w:lang w:val="en-US" w:eastAsia="zh-CN"/>
              </w:rPr>
            </w:pPr>
            <w:r>
              <w:rPr>
                <w:rFonts w:hint="eastAsia" w:ascii="宋体" w:hAnsi="宋体" w:eastAsia="宋体"/>
                <w:lang w:val="en-US" w:eastAsia="zh-CN"/>
              </w:rPr>
              <w:t>刘旭</w:t>
            </w:r>
          </w:p>
        </w:tc>
        <w:tc>
          <w:tcPr>
            <w:tcW w:w="2829" w:type="dxa"/>
            <w:vAlign w:val="center"/>
          </w:tcPr>
          <w:p>
            <w:pPr>
              <w:jc w:val="center"/>
              <w:rPr>
                <w:rFonts w:ascii="宋体" w:hAnsi="宋体" w:eastAsia="宋体"/>
              </w:rPr>
            </w:pPr>
            <w:r>
              <w:rPr>
                <w:rFonts w:hint="eastAsia" w:ascii="宋体" w:hAnsi="宋体" w:eastAsia="宋体"/>
              </w:rPr>
              <w:t>负责相关法规、标准、行业调研资料的收集，负责标准及编制说明的编写工作，参与组织和协调等工作，同时协助落实专家修订意见。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765" w:type="dxa"/>
            <w:vAlign w:val="center"/>
          </w:tcPr>
          <w:p>
            <w:pPr>
              <w:jc w:val="center"/>
              <w:rPr>
                <w:rFonts w:ascii="宋体" w:hAnsi="宋体" w:eastAsia="宋体"/>
              </w:rPr>
            </w:pPr>
            <w:r>
              <w:rPr>
                <w:rFonts w:hint="eastAsia"/>
                <w:lang w:val="en-US" w:eastAsia="zh-CN"/>
              </w:rPr>
              <w:t>大连产品质量检验检测研究院有限公司</w:t>
            </w:r>
          </w:p>
        </w:tc>
        <w:tc>
          <w:tcPr>
            <w:tcW w:w="2765" w:type="dxa"/>
            <w:vAlign w:val="center"/>
          </w:tcPr>
          <w:p>
            <w:pPr>
              <w:jc w:val="center"/>
              <w:rPr>
                <w:rFonts w:hint="eastAsia" w:ascii="宋体" w:hAnsi="宋体" w:eastAsia="宋体"/>
                <w:lang w:eastAsia="zh-CN"/>
              </w:rPr>
            </w:pPr>
            <w:r>
              <w:rPr>
                <w:rFonts w:hint="eastAsia" w:ascii="宋体" w:hAnsi="宋体" w:eastAsia="宋体"/>
                <w:lang w:val="en-US" w:eastAsia="zh-CN"/>
              </w:rPr>
              <w:t>张鹏</w:t>
            </w:r>
          </w:p>
        </w:tc>
        <w:tc>
          <w:tcPr>
            <w:tcW w:w="2829" w:type="dxa"/>
            <w:vAlign w:val="center"/>
          </w:tcPr>
          <w:p>
            <w:pPr>
              <w:jc w:val="center"/>
              <w:rPr>
                <w:rFonts w:ascii="宋体" w:hAnsi="宋体" w:eastAsia="宋体"/>
              </w:rPr>
            </w:pPr>
            <w:r>
              <w:rPr>
                <w:rFonts w:hint="eastAsia" w:ascii="宋体" w:hAnsi="宋体" w:eastAsia="宋体"/>
              </w:rPr>
              <w:t>参与编制方案的确定、标准修订、组织和协调等工作。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jc w:val="center"/>
              <w:rPr>
                <w:rFonts w:ascii="宋体" w:hAnsi="宋体" w:eastAsia="宋体"/>
              </w:rPr>
            </w:pPr>
            <w:r>
              <w:rPr>
                <w:rFonts w:hint="eastAsia"/>
                <w:lang w:val="en-US" w:eastAsia="zh-CN"/>
              </w:rPr>
              <w:t>大连产品质量检验检测研究院有限公司</w:t>
            </w:r>
          </w:p>
        </w:tc>
        <w:tc>
          <w:tcPr>
            <w:tcW w:w="2765" w:type="dxa"/>
            <w:vAlign w:val="center"/>
          </w:tcPr>
          <w:p>
            <w:pPr>
              <w:jc w:val="center"/>
              <w:rPr>
                <w:rFonts w:hint="eastAsia" w:ascii="宋体" w:hAnsi="宋体" w:eastAsia="宋体"/>
                <w:lang w:eastAsia="zh-CN"/>
              </w:rPr>
            </w:pPr>
            <w:r>
              <w:rPr>
                <w:rFonts w:hint="eastAsia" w:ascii="宋体" w:hAnsi="宋体" w:eastAsia="宋体"/>
                <w:lang w:val="en-US" w:eastAsia="zh-CN"/>
              </w:rPr>
              <w:t>李春玲</w:t>
            </w:r>
          </w:p>
        </w:tc>
        <w:tc>
          <w:tcPr>
            <w:tcW w:w="2829" w:type="dxa"/>
            <w:vAlign w:val="center"/>
          </w:tcPr>
          <w:p>
            <w:pPr>
              <w:jc w:val="center"/>
              <w:rPr>
                <w:rFonts w:ascii="宋体" w:hAnsi="宋体" w:eastAsia="宋体"/>
              </w:rPr>
            </w:pPr>
            <w:r>
              <w:rPr>
                <w:rFonts w:hint="eastAsia" w:ascii="宋体" w:hAnsi="宋体" w:eastAsia="宋体"/>
              </w:rPr>
              <w:t>负责标准起草工作中重大技术的确定以及专家反馈意见的分析和标准审定工作。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jc w:val="center"/>
              <w:rPr>
                <w:rFonts w:hint="eastAsia"/>
                <w:lang w:val="en-US" w:eastAsia="zh-CN"/>
              </w:rPr>
            </w:pPr>
            <w:r>
              <w:rPr>
                <w:rFonts w:hint="eastAsia" w:ascii="宋体" w:hAnsi="宋体" w:eastAsia="宋体"/>
                <w:lang w:val="en-US" w:eastAsia="zh-CN"/>
              </w:rPr>
              <w:t>大连标准认证研究院有限公司</w:t>
            </w:r>
          </w:p>
        </w:tc>
        <w:tc>
          <w:tcPr>
            <w:tcW w:w="2765" w:type="dxa"/>
            <w:vAlign w:val="center"/>
          </w:tcPr>
          <w:p>
            <w:pPr>
              <w:jc w:val="center"/>
              <w:rPr>
                <w:rFonts w:hint="default" w:ascii="宋体" w:hAnsi="宋体" w:eastAsia="宋体"/>
                <w:lang w:val="en-US" w:eastAsia="zh-CN"/>
              </w:rPr>
            </w:pPr>
            <w:r>
              <w:rPr>
                <w:rFonts w:hint="eastAsia" w:ascii="宋体" w:hAnsi="宋体" w:eastAsia="宋体"/>
                <w:lang w:val="en-US" w:eastAsia="zh-CN"/>
              </w:rPr>
              <w:t>刘鹏</w:t>
            </w:r>
          </w:p>
        </w:tc>
        <w:tc>
          <w:tcPr>
            <w:tcW w:w="2829" w:type="dxa"/>
            <w:vAlign w:val="center"/>
          </w:tcPr>
          <w:p>
            <w:pPr>
              <w:jc w:val="center"/>
              <w:rPr>
                <w:rFonts w:hint="default" w:ascii="宋体" w:hAnsi="宋体" w:eastAsiaTheme="minorEastAsia"/>
                <w:lang w:val="en-US" w:eastAsia="zh-CN"/>
              </w:rPr>
            </w:pPr>
            <w:r>
              <w:rPr>
                <w:rFonts w:hint="eastAsia" w:ascii="宋体" w:hAnsi="宋体" w:eastAsia="宋体"/>
                <w:lang w:val="en-US" w:eastAsia="zh-CN"/>
              </w:rPr>
              <w:t>负责</w:t>
            </w:r>
            <w:r>
              <w:rPr>
                <w:rFonts w:hint="eastAsia" w:ascii="宋体" w:hAnsi="宋体" w:eastAsia="宋体"/>
              </w:rPr>
              <w:t>标准起草</w:t>
            </w:r>
            <w:r>
              <w:rPr>
                <w:rFonts w:hint="eastAsia" w:ascii="宋体" w:hAnsi="宋体" w:eastAsia="宋体"/>
                <w:lang w:val="en-US" w:eastAsia="zh-CN"/>
              </w:rPr>
              <w:t>相关工作</w:t>
            </w:r>
          </w:p>
        </w:tc>
      </w:tr>
    </w:tbl>
    <w:p>
      <w:pPr>
        <w:pStyle w:val="24"/>
        <w:ind w:firstLine="600"/>
      </w:pPr>
      <w:r>
        <w:rPr>
          <w:rFonts w:hint="eastAsia"/>
        </w:rPr>
        <w:t>（六）主要工作过程</w:t>
      </w:r>
    </w:p>
    <w:p>
      <w:pPr>
        <w:pStyle w:val="25"/>
        <w:ind w:firstLine="560"/>
      </w:pPr>
      <w:r>
        <w:rPr>
          <w:rFonts w:hint="eastAsia"/>
        </w:rPr>
        <w:t>本标准的编制过程主要分为：成立标准编制工作组、标准调研、标准编制、标准送审</w:t>
      </w:r>
      <w:r>
        <w:rPr>
          <w:rFonts w:hint="eastAsia"/>
          <w:lang w:val="en-US" w:eastAsia="zh-CN"/>
        </w:rPr>
        <w:t>等</w:t>
      </w:r>
      <w:r>
        <w:t>阶段。</w:t>
      </w:r>
    </w:p>
    <w:p>
      <w:pPr>
        <w:pStyle w:val="25"/>
        <w:ind w:firstLine="560"/>
      </w:pPr>
      <w:r>
        <w:rPr>
          <w:rFonts w:hint="eastAsia"/>
        </w:rPr>
        <w:t>1.</w:t>
      </w:r>
      <w:r>
        <w:t xml:space="preserve"> </w:t>
      </w:r>
      <w:r>
        <w:rPr>
          <w:rFonts w:hint="eastAsia"/>
        </w:rPr>
        <w:t>成立标准编制工作组</w:t>
      </w:r>
    </w:p>
    <w:p>
      <w:pPr>
        <w:pStyle w:val="24"/>
        <w:ind w:firstLine="600"/>
      </w:pPr>
      <w:r>
        <w:rPr>
          <w:rFonts w:hint="eastAsia"/>
        </w:rPr>
        <w:t>经</w:t>
      </w:r>
      <w:r>
        <w:rPr>
          <w:rFonts w:hint="eastAsia"/>
          <w:color w:val="000000" w:themeColor="text1"/>
          <w:lang w:val="en-US" w:eastAsia="zh-CN"/>
          <w14:textFill>
            <w14:solidFill>
              <w14:schemeClr w14:val="tx1"/>
            </w14:solidFill>
          </w14:textFill>
        </w:rPr>
        <w:t>大连市美食文化协会批准立项</w:t>
      </w:r>
      <w:r>
        <w:rPr>
          <w:rFonts w:hint="eastAsia"/>
        </w:rPr>
        <w:t>后，</w:t>
      </w:r>
      <w:r>
        <w:rPr>
          <w:rFonts w:hint="eastAsia"/>
          <w:lang w:val="en-US" w:eastAsia="zh-CN"/>
        </w:rPr>
        <w:t>大连产品质量检验检测研究院有限公司牵头</w:t>
      </w:r>
      <w:r>
        <w:rPr>
          <w:rFonts w:hint="eastAsia"/>
        </w:rPr>
        <w:t>成立《</w:t>
      </w:r>
      <w:r>
        <w:rPr>
          <w:rFonts w:hint="eastAsia"/>
          <w:lang w:eastAsia="zh-CN"/>
        </w:rPr>
        <w:t>集体用餐</w:t>
      </w:r>
      <w:r>
        <w:rPr>
          <w:rFonts w:hint="eastAsia"/>
          <w:lang w:val="en-US" w:eastAsia="zh-CN"/>
        </w:rPr>
        <w:t>服务</w:t>
      </w:r>
      <w:r>
        <w:rPr>
          <w:rFonts w:hint="eastAsia"/>
          <w:lang w:eastAsia="zh-CN"/>
        </w:rPr>
        <w:t>通用要求</w:t>
      </w:r>
      <w:r>
        <w:rPr>
          <w:rFonts w:hint="eastAsia"/>
        </w:rPr>
        <w:t>》团体标准起草小组，开展相关标准编制工作。</w:t>
      </w:r>
    </w:p>
    <w:p>
      <w:pPr>
        <w:pStyle w:val="25"/>
        <w:ind w:firstLine="560"/>
      </w:pPr>
      <w:r>
        <w:rPr>
          <w:rFonts w:hint="eastAsia"/>
        </w:rPr>
        <w:t>2.</w:t>
      </w:r>
      <w:r>
        <w:t xml:space="preserve"> </w:t>
      </w:r>
      <w:r>
        <w:rPr>
          <w:rFonts w:hint="eastAsia"/>
        </w:rPr>
        <w:t>标准调研</w:t>
      </w:r>
    </w:p>
    <w:p>
      <w:pPr>
        <w:pStyle w:val="25"/>
        <w:ind w:firstLine="560"/>
        <w:rPr>
          <w:color w:val="auto"/>
        </w:rPr>
      </w:pPr>
      <w:r>
        <w:rPr>
          <w:rFonts w:hint="eastAsia"/>
        </w:rPr>
        <w:t>标准编制工作组成立后，制定了详细的工作计划，调查了解近</w:t>
      </w:r>
      <w:r>
        <w:rPr>
          <w:rFonts w:hint="eastAsia"/>
          <w:lang w:val="en-US" w:eastAsia="zh-CN"/>
        </w:rPr>
        <w:t>十</w:t>
      </w:r>
      <w:r>
        <w:rPr>
          <w:rFonts w:hint="eastAsia"/>
        </w:rPr>
        <w:t>年来出台的集体用餐</w:t>
      </w:r>
      <w:r>
        <w:rPr>
          <w:rFonts w:hint="eastAsia"/>
          <w:lang w:val="en-US" w:eastAsia="zh-CN"/>
        </w:rPr>
        <w:t>服务</w:t>
      </w:r>
      <w:r>
        <w:rPr>
          <w:rFonts w:hint="eastAsia"/>
        </w:rPr>
        <w:t>相关</w:t>
      </w:r>
      <w:r>
        <w:rPr>
          <w:rFonts w:hint="eastAsia"/>
          <w:lang w:val="en-US" w:eastAsia="zh-CN"/>
        </w:rPr>
        <w:t>标准、</w:t>
      </w:r>
      <w:r>
        <w:rPr>
          <w:rFonts w:hint="eastAsia"/>
        </w:rPr>
        <w:t>法规文件，</w:t>
      </w:r>
      <w:r>
        <w:rPr>
          <w:rFonts w:hint="eastAsia"/>
          <w:color w:val="auto"/>
        </w:rPr>
        <w:t>走访调研了大连</w:t>
      </w:r>
      <w:r>
        <w:rPr>
          <w:rFonts w:hint="eastAsia"/>
          <w:color w:val="auto"/>
          <w:lang w:eastAsia="zh-CN"/>
        </w:rPr>
        <w:t>、</w:t>
      </w:r>
      <w:r>
        <w:rPr>
          <w:rFonts w:hint="eastAsia"/>
          <w:color w:val="auto"/>
          <w:lang w:val="en-US" w:eastAsia="zh-CN"/>
        </w:rPr>
        <w:t>长三角地区</w:t>
      </w:r>
      <w:r>
        <w:rPr>
          <w:rFonts w:hint="eastAsia"/>
          <w:color w:val="auto"/>
        </w:rPr>
        <w:t>部分</w:t>
      </w:r>
      <w:r>
        <w:rPr>
          <w:rFonts w:hint="eastAsia"/>
          <w:color w:val="auto"/>
          <w:lang w:val="en-US" w:eastAsia="zh-CN"/>
        </w:rPr>
        <w:t>养老机构、校园食堂、企事业单位</w:t>
      </w:r>
      <w:r>
        <w:rPr>
          <w:color w:val="auto"/>
        </w:rPr>
        <w:t>。</w:t>
      </w:r>
    </w:p>
    <w:p>
      <w:pPr>
        <w:pStyle w:val="25"/>
        <w:ind w:firstLine="560"/>
        <w:rPr>
          <w:color w:val="auto"/>
        </w:rPr>
      </w:pPr>
      <w:r>
        <w:rPr>
          <w:color w:val="auto"/>
        </w:rPr>
        <w:t xml:space="preserve">3. </w:t>
      </w:r>
      <w:r>
        <w:rPr>
          <w:rFonts w:hint="eastAsia"/>
          <w:color w:val="auto"/>
        </w:rPr>
        <w:t>标准编制</w:t>
      </w:r>
    </w:p>
    <w:p>
      <w:pPr>
        <w:pStyle w:val="25"/>
        <w:ind w:firstLine="560"/>
      </w:pPr>
      <w:r>
        <w:rPr>
          <w:rFonts w:hint="eastAsia"/>
          <w:color w:val="auto"/>
        </w:rPr>
        <w:t>标准编制组成立后，</w:t>
      </w:r>
      <w:r>
        <w:rPr>
          <w:color w:val="auto"/>
        </w:rPr>
        <w:t>基于现阶段</w:t>
      </w:r>
      <w:r>
        <w:rPr>
          <w:rFonts w:hint="eastAsia"/>
          <w:color w:val="auto"/>
        </w:rPr>
        <w:t>走访调研</w:t>
      </w:r>
      <w:r>
        <w:rPr>
          <w:rFonts w:hint="eastAsia"/>
          <w:color w:val="auto"/>
          <w:lang w:val="en-US" w:eastAsia="zh-CN"/>
        </w:rPr>
        <w:t>多家养</w:t>
      </w:r>
      <w:r>
        <w:rPr>
          <w:rFonts w:hint="eastAsia"/>
          <w:lang w:val="en-US" w:eastAsia="zh-CN"/>
        </w:rPr>
        <w:t>老机构、校园食堂、企事业单位</w:t>
      </w:r>
      <w:r>
        <w:t>，结合</w:t>
      </w:r>
      <w:r>
        <w:rPr>
          <w:rFonts w:hint="eastAsia"/>
        </w:rPr>
        <w:t>相关行业专家的意见，以</w:t>
      </w:r>
      <w:r>
        <w:t>提升</w:t>
      </w:r>
      <w:r>
        <w:rPr>
          <w:rFonts w:hint="eastAsia"/>
        </w:rPr>
        <w:t>集体用餐</w:t>
      </w:r>
      <w:r>
        <w:rPr>
          <w:rFonts w:hint="eastAsia"/>
          <w:lang w:val="en-US" w:eastAsia="zh-CN"/>
        </w:rPr>
        <w:t>服务水平</w:t>
      </w:r>
      <w:r>
        <w:rPr>
          <w:rFonts w:hint="eastAsia"/>
          <w:lang w:eastAsia="zh-CN"/>
        </w:rPr>
        <w:t>、</w:t>
      </w:r>
      <w:r>
        <w:rPr>
          <w:rFonts w:hint="eastAsia"/>
          <w:lang w:val="en-US" w:eastAsia="zh-CN"/>
        </w:rPr>
        <w:t>提升集体用餐膳食卫生</w:t>
      </w:r>
      <w:r>
        <w:rPr>
          <w:rFonts w:hint="eastAsia"/>
        </w:rPr>
        <w:t>为目标，参照相关法律、法规、标准和技术文件，确定了标准内容。</w:t>
      </w:r>
    </w:p>
    <w:p>
      <w:pPr>
        <w:pStyle w:val="23"/>
        <w:numPr>
          <w:ilvl w:val="0"/>
          <w:numId w:val="0"/>
        </w:numPr>
        <w:spacing w:before="93" w:after="93"/>
        <w:ind w:left="600"/>
      </w:pPr>
      <w:r>
        <w:t>二、</w:t>
      </w:r>
      <w:r>
        <w:rPr>
          <w:rFonts w:hint="eastAsia"/>
        </w:rPr>
        <w:t>标准编制原则和主要内容</w:t>
      </w:r>
    </w:p>
    <w:p>
      <w:pPr>
        <w:pStyle w:val="24"/>
        <w:ind w:firstLine="600"/>
      </w:pPr>
      <w:r>
        <w:rPr>
          <w:rFonts w:hint="eastAsia"/>
        </w:rPr>
        <w:t>（一）标准编制原则</w:t>
      </w:r>
    </w:p>
    <w:p>
      <w:pPr>
        <w:ind w:firstLine="560" w:firstLineChars="200"/>
        <w:rPr>
          <w:rFonts w:ascii="宋体" w:hAnsi="Times New Roman" w:eastAsia="仿宋_GB2312" w:cs="Times New Roman"/>
          <w:kern w:val="0"/>
          <w:sz w:val="28"/>
          <w:szCs w:val="20"/>
        </w:rPr>
      </w:pPr>
      <w:r>
        <w:rPr>
          <w:rFonts w:hint="eastAsia" w:ascii="宋体" w:hAnsi="宋体" w:eastAsia="宋体" w:cs="宋体"/>
          <w:color w:val="000000" w:themeColor="text1"/>
          <w:sz w:val="28"/>
          <w:szCs w:val="28"/>
          <w14:textFill>
            <w14:solidFill>
              <w14:schemeClr w14:val="tx1"/>
            </w14:solidFill>
          </w14:textFill>
        </w:rPr>
        <w:t>1、</w:t>
      </w:r>
      <w:r>
        <w:rPr>
          <w:rFonts w:hint="eastAsia" w:ascii="宋体" w:hAnsi="Times New Roman" w:eastAsia="仿宋_GB2312" w:cs="Times New Roman"/>
          <w:kern w:val="0"/>
          <w:sz w:val="28"/>
          <w:szCs w:val="20"/>
        </w:rPr>
        <w:t>规范性原则</w:t>
      </w:r>
    </w:p>
    <w:p>
      <w:pPr>
        <w:ind w:firstLine="560" w:firstLineChars="200"/>
        <w:rPr>
          <w:rFonts w:ascii="宋体" w:hAnsi="Times New Roman" w:eastAsia="仿宋_GB2312" w:cs="Times New Roman"/>
          <w:kern w:val="0"/>
          <w:sz w:val="28"/>
          <w:szCs w:val="20"/>
        </w:rPr>
      </w:pPr>
      <w:r>
        <w:rPr>
          <w:rFonts w:hint="eastAsia" w:ascii="宋体" w:hAnsi="Times New Roman" w:eastAsia="仿宋_GB2312" w:cs="Times New Roman"/>
          <w:kern w:val="0"/>
          <w:sz w:val="28"/>
          <w:szCs w:val="20"/>
        </w:rPr>
        <w:t>本标准严格按照</w:t>
      </w:r>
      <w:r>
        <w:rPr>
          <w:rFonts w:ascii="宋体" w:hAnsi="Times New Roman" w:eastAsia="仿宋_GB2312" w:cs="Times New Roman"/>
          <w:kern w:val="0"/>
          <w:sz w:val="28"/>
          <w:szCs w:val="20"/>
        </w:rPr>
        <w:t>GB/T 1.1-2020 《标准化工作导则  第1部分：标准化文件的结构和起草规则》的要求和规定编写，保证了标准形式和内容的规范性。</w:t>
      </w:r>
    </w:p>
    <w:p>
      <w:pPr>
        <w:ind w:firstLine="560" w:firstLineChars="200"/>
        <w:rPr>
          <w:rFonts w:ascii="宋体" w:hAnsi="Times New Roman" w:eastAsia="仿宋_GB2312" w:cs="Times New Roman"/>
          <w:kern w:val="0"/>
          <w:sz w:val="28"/>
          <w:szCs w:val="20"/>
        </w:rPr>
      </w:pPr>
      <w:r>
        <w:rPr>
          <w:rFonts w:ascii="宋体" w:hAnsi="Times New Roman" w:eastAsia="仿宋_GB2312" w:cs="Times New Roman"/>
          <w:kern w:val="0"/>
          <w:sz w:val="28"/>
          <w:szCs w:val="20"/>
        </w:rPr>
        <w:t>2</w:t>
      </w:r>
      <w:r>
        <w:rPr>
          <w:rFonts w:hint="eastAsia" w:ascii="宋体" w:hAnsi="Times New Roman" w:eastAsia="仿宋_GB2312" w:cs="Times New Roman"/>
          <w:kern w:val="0"/>
          <w:sz w:val="28"/>
          <w:szCs w:val="20"/>
        </w:rPr>
        <w:t>、先进性原则</w:t>
      </w:r>
    </w:p>
    <w:p>
      <w:pPr>
        <w:ind w:firstLine="560" w:firstLineChars="200"/>
        <w:rPr>
          <w:rFonts w:ascii="宋体" w:hAnsi="Times New Roman" w:eastAsia="仿宋_GB2312" w:cs="Times New Roman"/>
          <w:kern w:val="0"/>
          <w:sz w:val="28"/>
          <w:szCs w:val="20"/>
        </w:rPr>
      </w:pPr>
      <w:r>
        <w:rPr>
          <w:rFonts w:ascii="宋体" w:hAnsi="Times New Roman" w:eastAsia="仿宋_GB2312" w:cs="Times New Roman"/>
          <w:kern w:val="0"/>
          <w:sz w:val="28"/>
          <w:szCs w:val="20"/>
        </w:rPr>
        <w:t>目前</w:t>
      </w:r>
      <w:r>
        <w:rPr>
          <w:rFonts w:hint="eastAsia" w:ascii="宋体" w:hAnsi="Times New Roman" w:eastAsia="仿宋_GB2312" w:cs="Times New Roman"/>
          <w:kern w:val="0"/>
          <w:sz w:val="28"/>
          <w:szCs w:val="20"/>
          <w:lang w:eastAsia="zh-CN"/>
        </w:rPr>
        <w:t>，</w:t>
      </w:r>
      <w:r>
        <w:rPr>
          <w:rFonts w:hint="eastAsia" w:ascii="宋体" w:hAnsi="Times New Roman" w:eastAsia="仿宋_GB2312" w:cs="Times New Roman"/>
          <w:kern w:val="0"/>
          <w:sz w:val="28"/>
          <w:szCs w:val="20"/>
          <w:lang w:val="en-US" w:eastAsia="zh-CN"/>
        </w:rPr>
        <w:t>辽宁省内没有与</w:t>
      </w:r>
      <w:r>
        <w:rPr>
          <w:rFonts w:hint="eastAsia" w:ascii="宋体" w:hAnsi="Times New Roman" w:eastAsia="仿宋_GB2312" w:cs="Times New Roman"/>
          <w:kern w:val="0"/>
          <w:sz w:val="28"/>
          <w:szCs w:val="20"/>
        </w:rPr>
        <w:t>集体用餐</w:t>
      </w:r>
      <w:r>
        <w:rPr>
          <w:rFonts w:hint="eastAsia" w:ascii="宋体" w:hAnsi="Times New Roman" w:eastAsia="仿宋_GB2312" w:cs="Times New Roman"/>
          <w:kern w:val="0"/>
          <w:sz w:val="28"/>
          <w:szCs w:val="20"/>
          <w:lang w:val="en-US" w:eastAsia="zh-CN"/>
        </w:rPr>
        <w:t>服务相关的标准，因此对于辽宁省内集体用餐服务水平无法</w:t>
      </w:r>
      <w:r>
        <w:rPr>
          <w:rFonts w:hint="eastAsia" w:ascii="宋体" w:hAnsi="Times New Roman" w:eastAsia="仿宋_GB2312" w:cs="Times New Roman"/>
          <w:kern w:val="0"/>
          <w:sz w:val="28"/>
          <w:szCs w:val="20"/>
        </w:rPr>
        <w:t>进行评判，国家和行业层面又缺乏相关标准加以规范，因此</w:t>
      </w:r>
      <w:r>
        <w:rPr>
          <w:rFonts w:hint="eastAsia" w:ascii="宋体" w:hAnsi="Times New Roman" w:eastAsia="仿宋_GB2312" w:cs="Times New Roman"/>
          <w:kern w:val="0"/>
          <w:sz w:val="28"/>
          <w:szCs w:val="20"/>
          <w:lang w:val="en-US" w:eastAsia="zh-CN"/>
        </w:rPr>
        <w:t>急需制定团体标准</w:t>
      </w:r>
      <w:r>
        <w:rPr>
          <w:rFonts w:hint="eastAsia" w:ascii="宋体" w:hAnsi="Times New Roman" w:eastAsia="仿宋_GB2312" w:cs="Times New Roman"/>
          <w:kern w:val="0"/>
          <w:sz w:val="28"/>
          <w:szCs w:val="20"/>
        </w:rPr>
        <w:t>，旨在针对</w:t>
      </w:r>
      <w:r>
        <w:rPr>
          <w:rFonts w:hint="eastAsia" w:ascii="宋体" w:hAnsi="Times New Roman" w:eastAsia="仿宋_GB2312" w:cs="Times New Roman"/>
          <w:kern w:val="0"/>
          <w:sz w:val="28"/>
          <w:szCs w:val="20"/>
          <w:lang w:val="en-US" w:eastAsia="zh-CN"/>
        </w:rPr>
        <w:t>行业内</w:t>
      </w:r>
      <w:r>
        <w:rPr>
          <w:rFonts w:hint="eastAsia" w:ascii="宋体" w:hAnsi="Times New Roman" w:eastAsia="仿宋_GB2312" w:cs="Times New Roman"/>
          <w:kern w:val="0"/>
          <w:sz w:val="28"/>
          <w:szCs w:val="20"/>
        </w:rPr>
        <w:t>集体用餐</w:t>
      </w:r>
      <w:r>
        <w:rPr>
          <w:rFonts w:hint="eastAsia" w:ascii="宋体" w:hAnsi="Times New Roman" w:eastAsia="仿宋_GB2312" w:cs="Times New Roman"/>
          <w:kern w:val="0"/>
          <w:sz w:val="28"/>
          <w:szCs w:val="20"/>
          <w:lang w:val="en-US" w:eastAsia="zh-CN"/>
        </w:rPr>
        <w:t>服务</w:t>
      </w:r>
      <w:r>
        <w:rPr>
          <w:rFonts w:hint="eastAsia" w:ascii="宋体" w:hAnsi="Times New Roman" w:eastAsia="仿宋_GB2312" w:cs="Times New Roman"/>
          <w:kern w:val="0"/>
          <w:sz w:val="28"/>
          <w:szCs w:val="20"/>
        </w:rPr>
        <w:t>作出要求</w:t>
      </w:r>
      <w:r>
        <w:rPr>
          <w:rFonts w:ascii="宋体" w:hAnsi="Times New Roman" w:eastAsia="仿宋_GB2312" w:cs="Times New Roman"/>
          <w:kern w:val="0"/>
          <w:sz w:val="28"/>
          <w:szCs w:val="20"/>
        </w:rPr>
        <w:t>。</w:t>
      </w:r>
    </w:p>
    <w:p>
      <w:pPr>
        <w:ind w:firstLine="560" w:firstLineChars="200"/>
        <w:rPr>
          <w:rFonts w:ascii="宋体" w:hAnsi="Times New Roman" w:eastAsia="仿宋_GB2312" w:cs="Times New Roman"/>
          <w:kern w:val="0"/>
          <w:sz w:val="28"/>
          <w:szCs w:val="20"/>
        </w:rPr>
      </w:pPr>
      <w:r>
        <w:rPr>
          <w:rFonts w:ascii="宋体" w:hAnsi="Times New Roman" w:eastAsia="仿宋_GB2312" w:cs="Times New Roman"/>
          <w:kern w:val="0"/>
          <w:sz w:val="28"/>
          <w:szCs w:val="20"/>
        </w:rPr>
        <w:t>本标准</w:t>
      </w:r>
      <w:r>
        <w:rPr>
          <w:rFonts w:hint="eastAsia" w:ascii="宋体" w:hAnsi="Times New Roman" w:eastAsia="仿宋_GB2312" w:cs="Times New Roman"/>
          <w:kern w:val="0"/>
          <w:sz w:val="28"/>
          <w:szCs w:val="20"/>
          <w:lang w:val="en-US" w:eastAsia="zh-CN"/>
        </w:rPr>
        <w:t>以《食品安全法》、《食品安全法实施条例》、《餐饮服务食品安全监督管理办法》、《餐饮服务许可管理办法》、《餐饮服务食品安全操作规范》，以及《食品安全管理体系餐饮业要求》《食品生产企业通用卫生规范》（GB14881）等法律、法规、规章、技术规范、标准为依据，参照集体用餐服务现状</w:t>
      </w:r>
      <w:r>
        <w:rPr>
          <w:rFonts w:ascii="宋体" w:hAnsi="Times New Roman" w:eastAsia="仿宋_GB2312" w:cs="Times New Roman"/>
          <w:kern w:val="0"/>
          <w:sz w:val="28"/>
          <w:szCs w:val="20"/>
        </w:rPr>
        <w:t>，借鉴国内相关标准，以提升</w:t>
      </w:r>
      <w:r>
        <w:rPr>
          <w:rFonts w:hint="eastAsia" w:ascii="宋体" w:hAnsi="Times New Roman" w:eastAsia="仿宋_GB2312" w:cs="Times New Roman"/>
          <w:kern w:val="0"/>
          <w:sz w:val="28"/>
          <w:szCs w:val="20"/>
          <w:lang w:val="en-US" w:eastAsia="zh-CN"/>
        </w:rPr>
        <w:t>集体用餐服务</w:t>
      </w:r>
      <w:r>
        <w:rPr>
          <w:rFonts w:ascii="宋体" w:hAnsi="Times New Roman" w:eastAsia="仿宋_GB2312" w:cs="Times New Roman"/>
          <w:kern w:val="0"/>
          <w:sz w:val="28"/>
          <w:szCs w:val="20"/>
        </w:rPr>
        <w:t>水平，防范</w:t>
      </w:r>
      <w:r>
        <w:rPr>
          <w:rFonts w:hint="eastAsia" w:ascii="宋体" w:hAnsi="Times New Roman" w:eastAsia="仿宋_GB2312" w:cs="Times New Roman"/>
          <w:kern w:val="0"/>
          <w:sz w:val="28"/>
          <w:szCs w:val="20"/>
          <w:lang w:val="en-US" w:eastAsia="zh-CN"/>
        </w:rPr>
        <w:t>集体用餐膳食食品安全事故发生</w:t>
      </w:r>
      <w:r>
        <w:rPr>
          <w:rFonts w:ascii="宋体" w:hAnsi="Times New Roman" w:eastAsia="仿宋_GB2312" w:cs="Times New Roman"/>
          <w:kern w:val="0"/>
          <w:sz w:val="28"/>
          <w:szCs w:val="20"/>
        </w:rPr>
        <w:t>，</w:t>
      </w:r>
      <w:r>
        <w:rPr>
          <w:rFonts w:hint="eastAsia" w:ascii="宋体" w:hAnsi="Times New Roman" w:eastAsia="仿宋_GB2312" w:cs="Times New Roman"/>
          <w:kern w:val="0"/>
          <w:sz w:val="28"/>
          <w:szCs w:val="20"/>
          <w:lang w:val="en-US" w:eastAsia="zh-CN"/>
        </w:rPr>
        <w:t>推进集体用餐服务高</w:t>
      </w:r>
      <w:r>
        <w:rPr>
          <w:rFonts w:ascii="宋体" w:hAnsi="Times New Roman" w:eastAsia="仿宋_GB2312" w:cs="Times New Roman"/>
          <w:kern w:val="0"/>
          <w:sz w:val="28"/>
          <w:szCs w:val="20"/>
        </w:rPr>
        <w:t>质量发展为目的</w:t>
      </w:r>
      <w:r>
        <w:rPr>
          <w:rFonts w:hint="eastAsia" w:ascii="宋体" w:hAnsi="Times New Roman" w:eastAsia="仿宋_GB2312" w:cs="Times New Roman"/>
          <w:kern w:val="0"/>
          <w:sz w:val="28"/>
          <w:szCs w:val="20"/>
          <w:lang w:eastAsia="zh-CN"/>
        </w:rPr>
        <w:t>，</w:t>
      </w:r>
      <w:r>
        <w:rPr>
          <w:rFonts w:hint="eastAsia" w:ascii="宋体" w:hAnsi="Times New Roman" w:eastAsia="仿宋_GB2312" w:cs="Times New Roman"/>
          <w:kern w:val="0"/>
          <w:sz w:val="28"/>
          <w:szCs w:val="20"/>
          <w:lang w:val="en-US" w:eastAsia="zh-CN"/>
        </w:rPr>
        <w:t>编制此标准，</w:t>
      </w:r>
      <w:r>
        <w:rPr>
          <w:rFonts w:ascii="宋体" w:hAnsi="Times New Roman" w:eastAsia="仿宋_GB2312" w:cs="Times New Roman"/>
          <w:kern w:val="0"/>
          <w:sz w:val="28"/>
          <w:szCs w:val="20"/>
        </w:rPr>
        <w:t>将有利于</w:t>
      </w:r>
      <w:r>
        <w:rPr>
          <w:rFonts w:hint="eastAsia" w:ascii="宋体" w:hAnsi="Times New Roman" w:eastAsia="仿宋_GB2312" w:cs="Times New Roman"/>
          <w:kern w:val="0"/>
          <w:sz w:val="28"/>
          <w:szCs w:val="20"/>
          <w:lang w:val="en-US" w:eastAsia="zh-CN"/>
        </w:rPr>
        <w:t>集体用餐服务</w:t>
      </w:r>
      <w:r>
        <w:rPr>
          <w:rFonts w:ascii="宋体" w:hAnsi="Times New Roman" w:eastAsia="仿宋_GB2312" w:cs="Times New Roman"/>
          <w:kern w:val="0"/>
          <w:sz w:val="28"/>
          <w:szCs w:val="20"/>
        </w:rPr>
        <w:t>行业的文明发展。</w:t>
      </w:r>
    </w:p>
    <w:p>
      <w:pPr>
        <w:ind w:firstLine="560" w:firstLineChars="200"/>
        <w:rPr>
          <w:rFonts w:ascii="宋体" w:hAnsi="Times New Roman" w:eastAsia="仿宋_GB2312" w:cs="Times New Roman"/>
          <w:kern w:val="0"/>
          <w:sz w:val="28"/>
          <w:szCs w:val="20"/>
        </w:rPr>
      </w:pPr>
      <w:r>
        <w:rPr>
          <w:rFonts w:hint="eastAsia" w:ascii="宋体" w:hAnsi="Times New Roman" w:eastAsia="仿宋_GB2312" w:cs="Times New Roman"/>
          <w:kern w:val="0"/>
          <w:sz w:val="28"/>
          <w:szCs w:val="20"/>
        </w:rPr>
        <w:t>3、协调性原则</w:t>
      </w:r>
    </w:p>
    <w:p>
      <w:pPr>
        <w:ind w:firstLine="560" w:firstLineChars="200"/>
        <w:rPr>
          <w:rFonts w:ascii="宋体" w:hAnsi="Times New Roman" w:eastAsia="仿宋_GB2312" w:cs="Times New Roman"/>
          <w:kern w:val="0"/>
          <w:sz w:val="28"/>
          <w:szCs w:val="20"/>
        </w:rPr>
      </w:pPr>
      <w:r>
        <w:rPr>
          <w:rFonts w:ascii="宋体" w:hAnsi="Times New Roman" w:eastAsia="仿宋_GB2312" w:cs="Times New Roman"/>
          <w:kern w:val="0"/>
          <w:sz w:val="28"/>
          <w:szCs w:val="20"/>
        </w:rPr>
        <w:t>本标准与我国</w:t>
      </w:r>
      <w:r>
        <w:rPr>
          <w:rFonts w:hint="eastAsia" w:ascii="宋体" w:hAnsi="Times New Roman" w:eastAsia="仿宋_GB2312" w:cs="Times New Roman"/>
          <w:kern w:val="0"/>
          <w:sz w:val="28"/>
          <w:szCs w:val="20"/>
          <w:lang w:val="en-US" w:eastAsia="zh-CN"/>
        </w:rPr>
        <w:t>餐饮服务、食品安全</w:t>
      </w:r>
      <w:r>
        <w:rPr>
          <w:rFonts w:ascii="宋体" w:hAnsi="Times New Roman" w:eastAsia="仿宋_GB2312" w:cs="Times New Roman"/>
          <w:kern w:val="0"/>
          <w:sz w:val="28"/>
          <w:szCs w:val="20"/>
        </w:rPr>
        <w:t>相关法律、法规和标准的要求协调一致。</w:t>
      </w:r>
    </w:p>
    <w:p>
      <w:pPr>
        <w:pStyle w:val="24"/>
        <w:ind w:firstLine="600"/>
      </w:pPr>
      <w:r>
        <w:rPr>
          <w:rFonts w:hint="eastAsia"/>
        </w:rPr>
        <w:t>（二）标准主要内容</w:t>
      </w:r>
    </w:p>
    <w:p>
      <w:pPr>
        <w:pStyle w:val="25"/>
        <w:ind w:firstLine="560"/>
      </w:pPr>
      <w:r>
        <w:rPr>
          <w:rFonts w:hint="eastAsia"/>
        </w:rPr>
        <w:t>1</w:t>
      </w:r>
      <w:r>
        <w:t xml:space="preserve">. </w:t>
      </w:r>
      <w:r>
        <w:rPr>
          <w:rFonts w:hint="eastAsia"/>
        </w:rPr>
        <w:t>范围</w:t>
      </w:r>
    </w:p>
    <w:p>
      <w:pPr>
        <w:pStyle w:val="25"/>
        <w:ind w:firstLine="560"/>
        <w:rPr>
          <w:rFonts w:hint="eastAsia"/>
        </w:rPr>
      </w:pPr>
      <w:r>
        <w:rPr>
          <w:rFonts w:hint="eastAsia"/>
        </w:rPr>
        <w:t>本文件规定了集体用餐</w:t>
      </w:r>
      <w:r>
        <w:rPr>
          <w:rFonts w:hint="eastAsia"/>
          <w:lang w:val="en-US" w:eastAsia="zh-CN"/>
        </w:rPr>
        <w:t>服务</w:t>
      </w:r>
      <w:r>
        <w:rPr>
          <w:rFonts w:hint="eastAsia"/>
        </w:rPr>
        <w:t>中的术语和定义、基本要求、营养、服务、</w:t>
      </w:r>
      <w:r>
        <w:rPr>
          <w:rFonts w:hint="eastAsia"/>
          <w:color w:val="000000" w:themeColor="text1"/>
          <w14:textFill>
            <w14:solidFill>
              <w14:schemeClr w14:val="tx1"/>
            </w14:solidFill>
          </w14:textFill>
        </w:rPr>
        <w:t>服务、</w:t>
      </w:r>
      <w:r>
        <w:rPr>
          <w:rFonts w:hint="eastAsia"/>
          <w:lang w:val="en-US" w:eastAsia="zh-CN"/>
        </w:rPr>
        <w:t>成品技术要求</w:t>
      </w:r>
      <w:r>
        <w:rPr>
          <w:rFonts w:hint="eastAsia"/>
          <w:color w:val="000000" w:themeColor="text1"/>
          <w14:textFill>
            <w14:solidFill>
              <w14:schemeClr w14:val="tx1"/>
            </w14:solidFill>
          </w14:textFill>
        </w:rPr>
        <w:t>、安全</w:t>
      </w:r>
      <w:r>
        <w:rPr>
          <w:rFonts w:hint="eastAsia"/>
        </w:rPr>
        <w:t>。</w:t>
      </w:r>
    </w:p>
    <w:p>
      <w:pPr>
        <w:pStyle w:val="25"/>
        <w:ind w:firstLine="560"/>
        <w:rPr>
          <w:rFonts w:hint="eastAsia"/>
        </w:rPr>
      </w:pPr>
      <w:r>
        <w:rPr>
          <w:rFonts w:hint="eastAsia"/>
        </w:rPr>
        <w:t>本文件适用于集体用餐活动中的食品安全及相关技术服务工作。</w:t>
      </w:r>
    </w:p>
    <w:p>
      <w:pPr>
        <w:pStyle w:val="25"/>
        <w:ind w:firstLine="560"/>
      </w:pPr>
      <w:r>
        <w:rPr>
          <w:rFonts w:hint="eastAsia"/>
        </w:rPr>
        <w:t>2</w:t>
      </w:r>
      <w:r>
        <w:t xml:space="preserve">. </w:t>
      </w:r>
      <w:r>
        <w:rPr>
          <w:rFonts w:hint="eastAsia"/>
        </w:rPr>
        <w:t>规范性引用文件</w:t>
      </w:r>
    </w:p>
    <w:p>
      <w:pPr>
        <w:pStyle w:val="25"/>
        <w:ind w:firstLine="560"/>
        <w:rPr>
          <w:rFonts w:hint="eastAsia"/>
        </w:rPr>
      </w:pPr>
      <w:r>
        <w:rPr>
          <w:rFonts w:hint="eastAsia"/>
        </w:rPr>
        <w:t>GB 31654</w:t>
      </w:r>
      <w:r>
        <w:rPr>
          <w:rFonts w:hint="eastAsia"/>
          <w:lang w:eastAsia="zh-CN"/>
        </w:rPr>
        <w:t xml:space="preserve">  《</w:t>
      </w:r>
      <w:r>
        <w:rPr>
          <w:rFonts w:hint="eastAsia"/>
        </w:rPr>
        <w:t>食品安全国家标准 餐饮服务通用卫生规范</w:t>
      </w:r>
      <w:r>
        <w:rPr>
          <w:rFonts w:hint="eastAsia"/>
          <w:lang w:eastAsia="zh-CN"/>
        </w:rPr>
        <w:t>》、</w:t>
      </w:r>
      <w:r>
        <w:rPr>
          <w:rFonts w:hint="eastAsia"/>
        </w:rPr>
        <w:t>GB 31603</w:t>
      </w:r>
      <w:r>
        <w:rPr>
          <w:rFonts w:hint="eastAsia"/>
          <w:lang w:eastAsia="zh-CN"/>
        </w:rPr>
        <w:t xml:space="preserve">  《</w:t>
      </w:r>
      <w:r>
        <w:rPr>
          <w:rFonts w:hint="eastAsia"/>
        </w:rPr>
        <w:t>食品安全国家标准 食品接触材料及制品生产通用卫生规范</w:t>
      </w:r>
      <w:r>
        <w:rPr>
          <w:rFonts w:hint="eastAsia"/>
          <w:lang w:eastAsia="zh-CN"/>
        </w:rPr>
        <w:t>》、</w:t>
      </w:r>
      <w:r>
        <w:rPr>
          <w:rFonts w:hint="eastAsia"/>
        </w:rPr>
        <w:t>GB 14881</w:t>
      </w:r>
      <w:r>
        <w:rPr>
          <w:rFonts w:hint="eastAsia"/>
          <w:lang w:eastAsia="zh-CN"/>
        </w:rPr>
        <w:t xml:space="preserve">  《</w:t>
      </w:r>
      <w:r>
        <w:rPr>
          <w:rFonts w:hint="eastAsia"/>
        </w:rPr>
        <w:t>食品安全国家标准 食品生产通用卫生规范</w:t>
      </w:r>
      <w:r>
        <w:rPr>
          <w:rFonts w:hint="eastAsia"/>
          <w:lang w:eastAsia="zh-CN"/>
        </w:rPr>
        <w:t>》、</w:t>
      </w:r>
      <w:r>
        <w:rPr>
          <w:rFonts w:hint="eastAsia"/>
        </w:rPr>
        <w:t>GB 2760</w:t>
      </w:r>
      <w:r>
        <w:rPr>
          <w:rFonts w:hint="eastAsia"/>
          <w:lang w:eastAsia="zh-CN"/>
        </w:rPr>
        <w:t xml:space="preserve">  《</w:t>
      </w:r>
      <w:r>
        <w:rPr>
          <w:rFonts w:hint="eastAsia"/>
        </w:rPr>
        <w:t>食品安全国家标准 食品添加剂使用标准</w:t>
      </w:r>
      <w:r>
        <w:rPr>
          <w:rFonts w:hint="eastAsia"/>
          <w:lang w:eastAsia="zh-CN"/>
        </w:rPr>
        <w:t>》、</w:t>
      </w:r>
      <w:r>
        <w:t>GB 2761</w:t>
      </w:r>
      <w:r>
        <w:rPr>
          <w:rFonts w:hint="eastAsia"/>
          <w:lang w:eastAsia="zh-CN"/>
        </w:rPr>
        <w:t xml:space="preserve">  《</w:t>
      </w:r>
      <w:r>
        <w:t>食品安全国家标准 食品中真菌毒素限量</w:t>
      </w:r>
      <w:r>
        <w:rPr>
          <w:rFonts w:hint="eastAsia"/>
          <w:lang w:eastAsia="zh-CN"/>
        </w:rPr>
        <w:t>》、</w:t>
      </w:r>
      <w:r>
        <w:rPr>
          <w:rFonts w:hint="eastAsia"/>
        </w:rPr>
        <w:t>GB 2762</w:t>
      </w:r>
      <w:r>
        <w:rPr>
          <w:rFonts w:hint="eastAsia"/>
          <w:lang w:eastAsia="zh-CN"/>
        </w:rPr>
        <w:t xml:space="preserve">  《</w:t>
      </w:r>
      <w:r>
        <w:t>食品安全国家标准 食品中污染物限量</w:t>
      </w:r>
      <w:r>
        <w:rPr>
          <w:rFonts w:hint="eastAsia"/>
          <w:lang w:eastAsia="zh-CN"/>
        </w:rPr>
        <w:t>》、</w:t>
      </w:r>
      <w:r>
        <w:rPr>
          <w:rFonts w:hint="eastAsia"/>
        </w:rPr>
        <w:t>GB 2763</w:t>
      </w:r>
      <w:r>
        <w:rPr>
          <w:rFonts w:hint="eastAsia"/>
          <w:lang w:eastAsia="zh-CN"/>
        </w:rPr>
        <w:t xml:space="preserve">  《</w:t>
      </w:r>
      <w:r>
        <w:t>食品安全国家标准 食品中农药最大残留限量</w:t>
      </w:r>
      <w:r>
        <w:rPr>
          <w:rFonts w:hint="eastAsia"/>
          <w:lang w:eastAsia="zh-CN"/>
        </w:rPr>
        <w:t>》、</w:t>
      </w:r>
      <w:r>
        <w:rPr>
          <w:color w:val="auto"/>
        </w:rPr>
        <w:t>GB</w:t>
      </w:r>
      <w:r>
        <w:rPr>
          <w:rFonts w:hint="eastAsia"/>
          <w:color w:val="auto"/>
          <w:lang w:val="en-US" w:eastAsia="zh-CN"/>
        </w:rPr>
        <w:t xml:space="preserve">/T </w:t>
      </w:r>
      <w:r>
        <w:rPr>
          <w:color w:val="auto"/>
        </w:rPr>
        <w:t>4789.3</w:t>
      </w:r>
      <w:r>
        <w:rPr>
          <w:rFonts w:hint="eastAsia"/>
          <w:color w:val="auto"/>
          <w:lang w:eastAsia="zh-CN"/>
        </w:rPr>
        <w:t>—</w:t>
      </w:r>
      <w:r>
        <w:rPr>
          <w:rFonts w:hint="eastAsia"/>
          <w:color w:val="auto"/>
          <w:lang w:val="en-US" w:eastAsia="zh-CN"/>
        </w:rPr>
        <w:t>2003</w:t>
      </w:r>
      <w:r>
        <w:rPr>
          <w:rFonts w:hint="eastAsia"/>
          <w:color w:val="auto"/>
          <w:lang w:eastAsia="zh-CN"/>
        </w:rPr>
        <w:t xml:space="preserve">  《</w:t>
      </w:r>
      <w:r>
        <w:rPr>
          <w:rFonts w:hint="eastAsia"/>
          <w:color w:val="auto"/>
        </w:rPr>
        <w:t>食品卫生微生物学检验 大肠菌群测定</w:t>
      </w:r>
      <w:r>
        <w:rPr>
          <w:rFonts w:hint="eastAsia"/>
          <w:color w:val="auto"/>
          <w:lang w:eastAsia="zh-CN"/>
        </w:rPr>
        <w:t>》、</w:t>
      </w:r>
      <w:r>
        <w:rPr>
          <w:rFonts w:hint="eastAsia"/>
          <w:color w:val="auto"/>
        </w:rPr>
        <w:t>GB 4789.4</w:t>
      </w:r>
      <w:r>
        <w:rPr>
          <w:rFonts w:hint="eastAsia"/>
          <w:color w:val="auto"/>
          <w:lang w:eastAsia="zh-CN"/>
        </w:rPr>
        <w:t xml:space="preserve">  《</w:t>
      </w:r>
      <w:r>
        <w:rPr>
          <w:color w:val="auto"/>
        </w:rPr>
        <w:t>食品安全国家标准 食品微生物学检验 沙门氏菌检验</w:t>
      </w:r>
      <w:r>
        <w:rPr>
          <w:rFonts w:hint="eastAsia"/>
          <w:color w:val="auto"/>
          <w:lang w:eastAsia="zh-CN"/>
        </w:rPr>
        <w:t>》、</w:t>
      </w:r>
      <w:r>
        <w:rPr>
          <w:rFonts w:hint="eastAsia"/>
          <w:color w:val="auto"/>
        </w:rPr>
        <w:t>GB 4789.10</w:t>
      </w:r>
      <w:r>
        <w:rPr>
          <w:rFonts w:hint="eastAsia"/>
          <w:color w:val="auto"/>
          <w:lang w:eastAsia="zh-CN"/>
        </w:rPr>
        <w:t xml:space="preserve">  《</w:t>
      </w:r>
      <w:r>
        <w:rPr>
          <w:color w:val="auto"/>
        </w:rPr>
        <w:t>食品安全国家标准 食品微生物学检验 金黄色葡萄球菌检验</w:t>
      </w:r>
      <w:r>
        <w:rPr>
          <w:rFonts w:hint="eastAsia"/>
          <w:color w:val="auto"/>
          <w:lang w:eastAsia="zh-CN"/>
        </w:rPr>
        <w:t>》、</w:t>
      </w:r>
      <w:r>
        <w:rPr>
          <w:color w:val="auto"/>
        </w:rPr>
        <w:t>GB 4789.5</w:t>
      </w:r>
      <w:r>
        <w:rPr>
          <w:rFonts w:hint="eastAsia"/>
          <w:color w:val="auto"/>
          <w:lang w:eastAsia="zh-CN"/>
        </w:rPr>
        <w:t xml:space="preserve">  《</w:t>
      </w:r>
      <w:r>
        <w:rPr>
          <w:color w:val="auto"/>
        </w:rPr>
        <w:t>食品安全国家标准 食品微生物学检验 志贺氏菌检验</w:t>
      </w:r>
      <w:r>
        <w:rPr>
          <w:rFonts w:hint="eastAsia"/>
          <w:color w:val="auto"/>
          <w:lang w:eastAsia="zh-CN"/>
        </w:rPr>
        <w:t>》、</w:t>
      </w:r>
      <w:r>
        <w:rPr>
          <w:color w:val="auto"/>
        </w:rPr>
        <w:t>GB 4789.14</w:t>
      </w:r>
      <w:r>
        <w:rPr>
          <w:rFonts w:hint="eastAsia"/>
          <w:color w:val="auto"/>
          <w:lang w:eastAsia="zh-CN"/>
        </w:rPr>
        <w:t xml:space="preserve">  《</w:t>
      </w:r>
      <w:r>
        <w:rPr>
          <w:color w:val="auto"/>
        </w:rPr>
        <w:t>食品安全国家标准 食品微生物学检验 蜡样芽胞杆菌检验</w:t>
      </w:r>
      <w:r>
        <w:rPr>
          <w:rFonts w:hint="eastAsia"/>
          <w:color w:val="auto"/>
          <w:lang w:eastAsia="zh-CN"/>
        </w:rPr>
        <w:t>》、</w:t>
      </w:r>
      <w:r>
        <w:rPr>
          <w:color w:val="auto"/>
        </w:rPr>
        <w:t>GB 4789.30</w:t>
      </w:r>
      <w:r>
        <w:rPr>
          <w:rFonts w:hint="eastAsia"/>
          <w:color w:val="auto"/>
          <w:lang w:eastAsia="zh-CN"/>
        </w:rPr>
        <w:t xml:space="preserve">  《</w:t>
      </w:r>
      <w:r>
        <w:rPr>
          <w:color w:val="auto"/>
        </w:rPr>
        <w:t>食品安全国家标准 食品微生物学检验 单核细胞增生李斯特氏菌检验</w:t>
      </w:r>
      <w:r>
        <w:rPr>
          <w:rFonts w:hint="eastAsia"/>
          <w:color w:val="auto"/>
          <w:lang w:eastAsia="zh-CN"/>
        </w:rPr>
        <w:t>》、</w:t>
      </w:r>
      <w:r>
        <w:rPr>
          <w:rFonts w:hint="eastAsia"/>
          <w:color w:val="auto"/>
        </w:rPr>
        <w:t>GB 4789.7</w:t>
      </w:r>
      <w:r>
        <w:rPr>
          <w:rFonts w:hint="eastAsia"/>
          <w:color w:val="auto"/>
          <w:lang w:eastAsia="zh-CN"/>
        </w:rPr>
        <w:t xml:space="preserve">  《</w:t>
      </w:r>
      <w:r>
        <w:rPr>
          <w:color w:val="auto"/>
        </w:rPr>
        <w:t>食品安全国家标准 食品微生物学检验 副溶血性弧菌检验</w:t>
      </w:r>
      <w:r>
        <w:rPr>
          <w:rFonts w:hint="eastAsia"/>
          <w:color w:val="auto"/>
          <w:lang w:eastAsia="zh-CN"/>
        </w:rPr>
        <w:t>》、</w:t>
      </w:r>
      <w:r>
        <w:rPr>
          <w:color w:val="auto"/>
        </w:rPr>
        <w:t>GB 4789.36</w:t>
      </w:r>
      <w:r>
        <w:rPr>
          <w:rFonts w:hint="eastAsia"/>
          <w:color w:val="auto"/>
          <w:lang w:eastAsia="zh-CN"/>
        </w:rPr>
        <w:t xml:space="preserve">  《</w:t>
      </w:r>
      <w:r>
        <w:rPr>
          <w:color w:val="auto"/>
        </w:rPr>
        <w:t>食品安全国家标准 食品微生物学检验 大肠埃希氏菌O157:H7/NM检验</w:t>
      </w:r>
      <w:r>
        <w:rPr>
          <w:rFonts w:hint="eastAsia"/>
          <w:color w:val="auto"/>
          <w:lang w:eastAsia="zh-CN"/>
        </w:rPr>
        <w:t>》、</w:t>
      </w:r>
      <w:r>
        <w:rPr>
          <w:color w:val="auto"/>
        </w:rPr>
        <w:t>GB 4789.38</w:t>
      </w:r>
      <w:r>
        <w:rPr>
          <w:rFonts w:hint="eastAsia"/>
          <w:color w:val="auto"/>
          <w:lang w:eastAsia="zh-CN"/>
        </w:rPr>
        <w:t xml:space="preserve">  《</w:t>
      </w:r>
      <w:r>
        <w:rPr>
          <w:color w:val="auto"/>
        </w:rPr>
        <w:t>食品安全国家标准 食品微生物学检验 大肠埃希氏菌计数</w:t>
      </w:r>
      <w:r>
        <w:rPr>
          <w:rFonts w:hint="eastAsia"/>
          <w:color w:val="auto"/>
          <w:lang w:eastAsia="zh-CN"/>
        </w:rPr>
        <w:t>》、</w:t>
      </w:r>
      <w:r>
        <w:rPr>
          <w:rFonts w:hint="eastAsia"/>
          <w:color w:val="auto"/>
        </w:rPr>
        <w:t>中</w:t>
      </w:r>
      <w:r>
        <w:rPr>
          <w:rFonts w:hint="eastAsia"/>
        </w:rPr>
        <w:t>国居民膳食营养素参考摄入量 (2023版)</w:t>
      </w:r>
    </w:p>
    <w:p>
      <w:pPr>
        <w:pStyle w:val="25"/>
        <w:ind w:firstLine="560"/>
        <w:rPr>
          <w:rFonts w:hint="eastAsia" w:eastAsia="仿宋_GB2312"/>
          <w:lang w:eastAsia="zh-CN"/>
        </w:rPr>
      </w:pPr>
      <w:r>
        <w:t xml:space="preserve">3. </w:t>
      </w:r>
      <w:r>
        <w:rPr>
          <w:rFonts w:hint="eastAsia"/>
          <w:lang w:val="en-US" w:eastAsia="zh-CN"/>
        </w:rPr>
        <w:t>术语和定义</w:t>
      </w:r>
    </w:p>
    <w:p>
      <w:pPr>
        <w:pStyle w:val="34"/>
        <w:numPr>
          <w:ilvl w:val="0"/>
          <w:numId w:val="0"/>
        </w:numPr>
        <w:ind w:left="420"/>
      </w:pPr>
      <w:r>
        <w:rPr>
          <w:rFonts w:hint="default" w:ascii="宋体" w:hAnsi="Times New Roman" w:eastAsia="仿宋_GB2312"/>
          <w:color w:val="auto"/>
          <w:sz w:val="28"/>
          <w:lang w:val="en-US" w:eastAsia="zh-CN"/>
        </w:rPr>
        <w:t>对“</w:t>
      </w:r>
      <w:r>
        <w:rPr>
          <w:rFonts w:hint="default" w:ascii="宋体" w:hAnsi="Times New Roman" w:eastAsia="仿宋_GB2312"/>
          <w:color w:val="auto"/>
          <w:sz w:val="28"/>
        </w:rPr>
        <w:t>集体用餐</w:t>
      </w:r>
      <w:r>
        <w:rPr>
          <w:rFonts w:hint="default" w:ascii="宋体" w:hAnsi="Times New Roman" w:eastAsia="仿宋_GB2312"/>
          <w:color w:val="auto"/>
          <w:sz w:val="28"/>
          <w:lang w:eastAsia="zh-CN"/>
        </w:rPr>
        <w:t>”</w:t>
      </w:r>
      <w:r>
        <w:rPr>
          <w:rFonts w:hint="default" w:ascii="宋体" w:hAnsi="Times New Roman" w:eastAsia="仿宋_GB2312"/>
          <w:color w:val="auto"/>
          <w:sz w:val="28"/>
          <w:lang w:val="en-US" w:eastAsia="zh-CN"/>
        </w:rPr>
        <w:t>等术语进行</w:t>
      </w:r>
      <w:r>
        <w:rPr>
          <w:rFonts w:hint="eastAsia" w:eastAsia="仿宋_GB2312"/>
          <w:color w:val="auto"/>
          <w:sz w:val="28"/>
          <w:lang w:val="en-US" w:eastAsia="zh-CN"/>
        </w:rPr>
        <w:t>了</w:t>
      </w:r>
      <w:r>
        <w:rPr>
          <w:rFonts w:hint="default" w:ascii="宋体" w:hAnsi="Times New Roman" w:eastAsia="仿宋_GB2312"/>
          <w:color w:val="auto"/>
          <w:sz w:val="28"/>
          <w:lang w:val="en-US" w:eastAsia="zh-CN"/>
        </w:rPr>
        <w:t>解释。</w:t>
      </w:r>
    </w:p>
    <w:p>
      <w:pPr>
        <w:pStyle w:val="25"/>
        <w:ind w:firstLine="560"/>
        <w:rPr>
          <w:color w:val="auto"/>
        </w:rPr>
      </w:pPr>
      <w:r>
        <w:rPr>
          <w:color w:val="auto"/>
        </w:rPr>
        <w:t xml:space="preserve">4. </w:t>
      </w:r>
      <w:r>
        <w:rPr>
          <w:rFonts w:hint="eastAsia"/>
          <w:color w:val="auto"/>
          <w:lang w:val="en-US" w:eastAsia="zh-CN"/>
        </w:rPr>
        <w:t>基本</w:t>
      </w:r>
      <w:r>
        <w:rPr>
          <w:rFonts w:hint="eastAsia"/>
          <w:color w:val="auto"/>
        </w:rPr>
        <w:t>要求</w:t>
      </w:r>
    </w:p>
    <w:p>
      <w:pPr>
        <w:pStyle w:val="25"/>
        <w:numPr>
          <w:ilvl w:val="0"/>
          <w:numId w:val="7"/>
        </w:numPr>
        <w:ind w:left="425" w:leftChars="0" w:hanging="425" w:firstLineChars="0"/>
        <w:rPr>
          <w:rFonts w:hint="eastAsia"/>
          <w:color w:val="auto"/>
        </w:rPr>
      </w:pPr>
      <w:r>
        <w:rPr>
          <w:rFonts w:hint="eastAsia"/>
          <w:color w:val="auto"/>
        </w:rPr>
        <w:t>集体用餐单位食堂、集体用餐配送单位应取得相关资质，并相应建立基本食品安全管理制度。</w:t>
      </w:r>
    </w:p>
    <w:p>
      <w:pPr>
        <w:pStyle w:val="25"/>
        <w:numPr>
          <w:ilvl w:val="0"/>
          <w:numId w:val="7"/>
        </w:numPr>
        <w:ind w:left="425" w:leftChars="0" w:hanging="425" w:firstLineChars="0"/>
        <w:rPr>
          <w:color w:val="auto"/>
        </w:rPr>
      </w:pPr>
      <w:r>
        <w:rPr>
          <w:rFonts w:hint="eastAsia"/>
          <w:color w:val="auto"/>
        </w:rPr>
        <w:t>集体用餐单位餐饮服务人员应取得从业人员健康证。</w:t>
      </w:r>
    </w:p>
    <w:p>
      <w:pPr>
        <w:pStyle w:val="25"/>
        <w:numPr>
          <w:ilvl w:val="0"/>
          <w:numId w:val="7"/>
        </w:numPr>
        <w:ind w:left="425" w:leftChars="0" w:hanging="425" w:firstLineChars="0"/>
        <w:rPr>
          <w:color w:val="auto"/>
        </w:rPr>
      </w:pPr>
      <w:r>
        <w:rPr>
          <w:rFonts w:hint="eastAsia"/>
          <w:color w:val="auto"/>
        </w:rPr>
        <w:t>集体用餐单位餐饮服务中各环节应符合 GB 31654 的要求。</w:t>
      </w:r>
    </w:p>
    <w:p>
      <w:pPr>
        <w:pStyle w:val="25"/>
        <w:numPr>
          <w:ilvl w:val="0"/>
          <w:numId w:val="7"/>
        </w:numPr>
        <w:ind w:left="425" w:leftChars="0" w:hanging="425" w:firstLineChars="0"/>
        <w:rPr>
          <w:color w:val="auto"/>
        </w:rPr>
      </w:pPr>
      <w:r>
        <w:rPr>
          <w:rFonts w:hint="eastAsia"/>
          <w:color w:val="auto"/>
        </w:rPr>
        <w:t>原料污染物限量应符合GB 2762的规定，原料农药残留限量应符合GB 2763的规定，真菌毒素限量应符合GB 2761的规定。</w:t>
      </w:r>
    </w:p>
    <w:p>
      <w:pPr>
        <w:pStyle w:val="25"/>
        <w:numPr>
          <w:ilvl w:val="0"/>
          <w:numId w:val="7"/>
        </w:numPr>
        <w:ind w:left="425" w:leftChars="0" w:hanging="425" w:firstLineChars="0"/>
        <w:rPr>
          <w:color w:val="auto"/>
        </w:rPr>
      </w:pPr>
      <w:r>
        <w:rPr>
          <w:rFonts w:hint="eastAsia"/>
          <w:color w:val="auto"/>
        </w:rPr>
        <w:t>设备设施应符合GB 14881的规定。</w:t>
      </w:r>
    </w:p>
    <w:p>
      <w:pPr>
        <w:pStyle w:val="25"/>
        <w:numPr>
          <w:ilvl w:val="0"/>
          <w:numId w:val="7"/>
        </w:numPr>
        <w:ind w:left="425" w:leftChars="0" w:hanging="425" w:firstLineChars="0"/>
        <w:rPr>
          <w:color w:val="auto"/>
        </w:rPr>
      </w:pPr>
      <w:r>
        <w:rPr>
          <w:rFonts w:hint="eastAsia"/>
          <w:color w:val="auto"/>
        </w:rPr>
        <w:t>应对特殊群体的年龄、健康状况、民族结构等进行登记，依据实际情况，合理搭配膳食。</w:t>
      </w:r>
    </w:p>
    <w:p>
      <w:pPr>
        <w:pStyle w:val="25"/>
        <w:numPr>
          <w:ilvl w:val="0"/>
          <w:numId w:val="7"/>
        </w:numPr>
        <w:ind w:left="425" w:leftChars="0" w:hanging="425" w:firstLineChars="0"/>
        <w:rPr>
          <w:color w:val="auto"/>
        </w:rPr>
      </w:pPr>
      <w:r>
        <w:rPr>
          <w:rFonts w:hint="eastAsia"/>
          <w:color w:val="auto"/>
        </w:rPr>
        <w:t>应每季度定期对配餐情况及各项管理制度坚持情况进行评价</w:t>
      </w:r>
      <w:r>
        <w:rPr>
          <w:color w:val="auto"/>
        </w:rPr>
        <w:t>。</w:t>
      </w:r>
    </w:p>
    <w:p>
      <w:pPr>
        <w:pStyle w:val="25"/>
        <w:numPr>
          <w:ilvl w:val="0"/>
          <w:numId w:val="7"/>
        </w:numPr>
        <w:ind w:left="425" w:leftChars="0" w:hanging="425" w:firstLineChars="0"/>
        <w:rPr>
          <w:color w:val="auto"/>
        </w:rPr>
      </w:pPr>
      <w:r>
        <w:rPr>
          <w:rFonts w:hint="eastAsia"/>
          <w:color w:val="auto"/>
        </w:rPr>
        <w:t>进货查验记录和相关凭证的保存期限不得少于</w:t>
      </w:r>
      <w:r>
        <w:rPr>
          <w:color w:val="auto"/>
        </w:rPr>
        <w:fldChar w:fldCharType="begin"/>
      </w:r>
      <w:r>
        <w:rPr>
          <w:color w:val="auto"/>
        </w:rPr>
        <w:instrText xml:space="preserve"> HYPERLINK "https://baike.baidu.com/item/%E4%BA%A7%E5%93%81%E4%BF%9D%E8%B4%A8/18959427?fromModule=lemma_inlink" \t "https://baike.baidu.com/item/%E9%A4%90%E9%A5%AE%E6%9C%8D%E5%8A%A1%E9%A3%9F%E5%93%81%E5%AE%89%E5%85%A8%E6%93%8D%E4%BD%9C%E8%A7%84%E8%8C%83/_blank" </w:instrText>
      </w:r>
      <w:r>
        <w:rPr>
          <w:color w:val="auto"/>
        </w:rPr>
        <w:fldChar w:fldCharType="separate"/>
      </w:r>
      <w:r>
        <w:rPr>
          <w:color w:val="auto"/>
        </w:rPr>
        <w:t>产品保质</w:t>
      </w:r>
      <w:r>
        <w:rPr>
          <w:color w:val="auto"/>
        </w:rPr>
        <w:fldChar w:fldCharType="end"/>
      </w:r>
      <w:r>
        <w:rPr>
          <w:color w:val="auto"/>
        </w:rPr>
        <w:t>期满后6个月；没有明确保质期的，保存期限不得少于2年。其他各项记录保存期限宜为2年</w:t>
      </w:r>
      <w:r>
        <w:rPr>
          <w:rFonts w:hint="eastAsia"/>
          <w:color w:val="auto"/>
        </w:rPr>
        <w:t>。</w:t>
      </w:r>
    </w:p>
    <w:p>
      <w:pPr>
        <w:pStyle w:val="25"/>
        <w:numPr>
          <w:ilvl w:val="0"/>
          <w:numId w:val="7"/>
        </w:numPr>
        <w:ind w:left="425" w:leftChars="0" w:hanging="425" w:firstLineChars="0"/>
        <w:rPr>
          <w:color w:val="auto"/>
        </w:rPr>
      </w:pPr>
      <w:r>
        <w:rPr>
          <w:rFonts w:hint="eastAsia"/>
          <w:color w:val="auto"/>
        </w:rPr>
        <w:t>提供餐饮服务单位食物及其原材料的采购、仓储、处理、烹饪加工、留样均需严格执行餐饮安全操作规范，防止交叉污染。</w:t>
      </w:r>
    </w:p>
    <w:p>
      <w:pPr>
        <w:pStyle w:val="25"/>
        <w:numPr>
          <w:ilvl w:val="0"/>
          <w:numId w:val="7"/>
        </w:numPr>
        <w:ind w:left="425" w:leftChars="0" w:hanging="425" w:firstLineChars="0"/>
        <w:rPr>
          <w:color w:val="auto"/>
        </w:rPr>
      </w:pPr>
      <w:r>
        <w:rPr>
          <w:rFonts w:hint="eastAsia"/>
          <w:color w:val="auto"/>
        </w:rPr>
        <w:t>原料与包装材料要求应符合GB 31603要求</w:t>
      </w:r>
    </w:p>
    <w:p>
      <w:pPr>
        <w:pStyle w:val="25"/>
        <w:numPr>
          <w:ilvl w:val="0"/>
          <w:numId w:val="7"/>
        </w:numPr>
        <w:ind w:left="425" w:leftChars="0" w:hanging="425" w:firstLineChars="0"/>
        <w:rPr>
          <w:color w:val="auto"/>
        </w:rPr>
      </w:pPr>
      <w:r>
        <w:rPr>
          <w:rFonts w:hint="eastAsia"/>
          <w:color w:val="auto"/>
        </w:rPr>
        <w:t>服务机构应定期检查防鼠、防蝇、防虫害装置的使用情况及安全消杀执行情况，并有相应检查记录，保证厨房内无虫害迹象。</w:t>
      </w:r>
    </w:p>
    <w:p>
      <w:pPr>
        <w:pStyle w:val="25"/>
        <w:numPr>
          <w:ilvl w:val="0"/>
          <w:numId w:val="7"/>
        </w:numPr>
        <w:ind w:left="425" w:leftChars="0" w:hanging="425" w:firstLineChars="0"/>
        <w:rPr>
          <w:color w:val="auto"/>
        </w:rPr>
      </w:pPr>
      <w:r>
        <w:rPr>
          <w:rFonts w:hint="eastAsia"/>
          <w:color w:val="auto"/>
        </w:rPr>
        <w:t>食品添加剂应符合GB 2760及国家相关规定。</w:t>
      </w:r>
    </w:p>
    <w:p>
      <w:pPr>
        <w:pStyle w:val="25"/>
        <w:ind w:firstLine="560"/>
        <w:rPr>
          <w:rFonts w:hint="eastAsia" w:eastAsia="仿宋_GB2312"/>
          <w:color w:val="auto"/>
          <w:lang w:eastAsia="zh-CN"/>
        </w:rPr>
      </w:pPr>
      <w:r>
        <w:rPr>
          <w:color w:val="auto"/>
        </w:rPr>
        <w:t xml:space="preserve">5. </w:t>
      </w:r>
      <w:r>
        <w:rPr>
          <w:rFonts w:hint="eastAsia"/>
          <w:color w:val="auto"/>
          <w:lang w:val="en-US" w:eastAsia="zh-CN"/>
        </w:rPr>
        <w:t>特殊群体营养需求</w:t>
      </w:r>
    </w:p>
    <w:p>
      <w:pPr>
        <w:pStyle w:val="25"/>
        <w:ind w:left="140" w:firstLine="420" w:firstLineChars="0"/>
        <w:rPr>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学生</w:t>
      </w:r>
    </w:p>
    <w:p>
      <w:pPr>
        <w:pStyle w:val="25"/>
        <w:numPr>
          <w:ilvl w:val="0"/>
          <w:numId w:val="8"/>
        </w:numPr>
        <w:ind w:left="0" w:leftChars="0" w:firstLine="400" w:firstLineChars="0"/>
        <w:rPr>
          <w:color w:val="auto"/>
        </w:rPr>
      </w:pPr>
      <w:r>
        <w:rPr>
          <w:rFonts w:hint="eastAsia"/>
          <w:color w:val="auto"/>
        </w:rPr>
        <w:t>谷类</w:t>
      </w:r>
    </w:p>
    <w:p>
      <w:pPr>
        <w:pStyle w:val="25"/>
        <w:ind w:left="140" w:firstLine="420" w:firstLineChars="0"/>
        <w:rPr>
          <w:color w:val="auto"/>
        </w:rPr>
      </w:pPr>
      <w:r>
        <w:rPr>
          <w:rFonts w:hint="eastAsia"/>
          <w:color w:val="auto"/>
        </w:rPr>
        <w:t>包括米、面、杂粮和薯类等，可用杂粮或薯类部分替代米或面，避免长期提供一种主食。</w:t>
      </w:r>
    </w:p>
    <w:p>
      <w:pPr>
        <w:pStyle w:val="25"/>
        <w:numPr>
          <w:ilvl w:val="0"/>
          <w:numId w:val="8"/>
        </w:numPr>
        <w:ind w:left="0" w:leftChars="0" w:firstLine="400" w:firstLineChars="0"/>
        <w:rPr>
          <w:color w:val="auto"/>
        </w:rPr>
      </w:pPr>
      <w:r>
        <w:rPr>
          <w:rFonts w:hint="eastAsia"/>
          <w:color w:val="auto"/>
        </w:rPr>
        <w:t>蔬菜水果类</w:t>
      </w:r>
    </w:p>
    <w:p>
      <w:pPr>
        <w:pStyle w:val="25"/>
        <w:ind w:left="140" w:firstLine="420" w:firstLineChars="0"/>
        <w:rPr>
          <w:color w:val="auto"/>
        </w:rPr>
      </w:pPr>
      <w:r>
        <w:rPr>
          <w:rFonts w:hint="eastAsia"/>
          <w:color w:val="auto"/>
        </w:rPr>
        <w:t>每天提供至少三种以上新鲜蔬菜，一半以上为深绿色、红色、橙色、紫色等深色蔬菜，适量提供菌、藻类。有条件的地区可每天提供至少一种新鲜水果。</w:t>
      </w:r>
    </w:p>
    <w:p>
      <w:pPr>
        <w:pStyle w:val="25"/>
        <w:numPr>
          <w:ilvl w:val="0"/>
          <w:numId w:val="8"/>
        </w:numPr>
        <w:ind w:left="0" w:leftChars="0" w:firstLine="400" w:firstLineChars="0"/>
        <w:rPr>
          <w:color w:val="auto"/>
        </w:rPr>
      </w:pPr>
      <w:r>
        <w:rPr>
          <w:rFonts w:hint="eastAsia"/>
          <w:color w:val="auto"/>
        </w:rPr>
        <w:t>鱼禽肉蛋类</w:t>
      </w:r>
    </w:p>
    <w:p>
      <w:pPr>
        <w:pStyle w:val="25"/>
        <w:ind w:left="140" w:firstLine="420" w:firstLineChars="0"/>
        <w:rPr>
          <w:color w:val="auto"/>
        </w:rPr>
      </w:pPr>
      <w:r>
        <w:rPr>
          <w:rFonts w:hint="eastAsia"/>
          <w:color w:val="auto"/>
        </w:rPr>
        <w:t>禽肉与畜肉互换，鱼与虾、蟹等互换，各种蛋类互换。优先选择水产类或禽类；畜肉以瘦肉为主，少提供肥肉。每周提供1次动物肝脏，每人每次20g~25g。蛋类可分一日三餐提供，也可集中于某一餐提供。</w:t>
      </w:r>
    </w:p>
    <w:p>
      <w:pPr>
        <w:pStyle w:val="25"/>
        <w:numPr>
          <w:ilvl w:val="0"/>
          <w:numId w:val="8"/>
        </w:numPr>
        <w:ind w:left="0" w:leftChars="0" w:firstLine="400" w:firstLineChars="0"/>
        <w:rPr>
          <w:color w:val="auto"/>
        </w:rPr>
      </w:pPr>
      <w:r>
        <w:rPr>
          <w:rFonts w:hint="eastAsia"/>
          <w:color w:val="auto"/>
        </w:rPr>
        <w:t>奶类及大豆</w:t>
      </w:r>
    </w:p>
    <w:p>
      <w:pPr>
        <w:pStyle w:val="25"/>
        <w:ind w:left="140" w:firstLine="420" w:firstLineChars="0"/>
        <w:rPr>
          <w:color w:val="auto"/>
        </w:rPr>
      </w:pPr>
      <w:r>
        <w:rPr>
          <w:rFonts w:hint="eastAsia"/>
          <w:color w:val="auto"/>
        </w:rPr>
        <w:t>平均每人每天提供200g~300g(一袋/盒)牛奶或相当量的奶制品，如酸奶。每天提供各种大豆或大豆制品，如黄豆、豆腐、豆腐干、腐竹、豆腐脑等。奶及奶制品可分一日三餐提供，也可集中于某一餐提供。</w:t>
      </w:r>
    </w:p>
    <w:p>
      <w:pPr>
        <w:pStyle w:val="25"/>
        <w:numPr>
          <w:ilvl w:val="0"/>
          <w:numId w:val="8"/>
        </w:numPr>
        <w:ind w:left="0" w:leftChars="0" w:firstLine="400" w:firstLineChars="0"/>
        <w:rPr>
          <w:color w:val="auto"/>
        </w:rPr>
      </w:pPr>
      <w:r>
        <w:rPr>
          <w:rFonts w:hint="eastAsia"/>
          <w:color w:val="auto"/>
        </w:rPr>
        <w:t>控油限盐</w:t>
      </w:r>
    </w:p>
    <w:p>
      <w:pPr>
        <w:pStyle w:val="25"/>
        <w:ind w:left="140" w:firstLine="420" w:firstLineChars="0"/>
        <w:rPr>
          <w:color w:val="auto"/>
        </w:rPr>
      </w:pPr>
      <w:r>
        <w:rPr>
          <w:rFonts w:hint="eastAsia"/>
          <w:color w:val="auto"/>
        </w:rPr>
        <w:t>学生餐要清淡，每人每天烹调油用量不超过30g；控制食盐摄入，包括酱油和其他食物的食盐在内，提供的食盐不超过每人每天 6g。</w:t>
      </w:r>
    </w:p>
    <w:p>
      <w:pPr>
        <w:pStyle w:val="25"/>
        <w:ind w:left="140" w:firstLine="420" w:firstLineChars="0"/>
        <w:rPr>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老人</w:t>
      </w:r>
    </w:p>
    <w:p>
      <w:pPr>
        <w:pStyle w:val="25"/>
        <w:numPr>
          <w:ilvl w:val="0"/>
          <w:numId w:val="9"/>
        </w:numPr>
        <w:ind w:left="0" w:leftChars="0" w:firstLine="400" w:firstLineChars="0"/>
        <w:rPr>
          <w:color w:val="auto"/>
        </w:rPr>
      </w:pPr>
      <w:r>
        <w:rPr>
          <w:rFonts w:hint="eastAsia"/>
          <w:color w:val="auto"/>
        </w:rPr>
        <w:t>餐饮服务单位应充分了解老人需求，制定配餐计划前进行评估(评估内容包括但不限于老人基本情况、营养状况、疾病与健康情况、吞咽情况等信息)。</w:t>
      </w:r>
    </w:p>
    <w:p>
      <w:pPr>
        <w:pStyle w:val="25"/>
        <w:numPr>
          <w:ilvl w:val="0"/>
          <w:numId w:val="9"/>
        </w:numPr>
        <w:ind w:left="0" w:leftChars="0" w:firstLine="400" w:firstLineChars="0"/>
        <w:rPr>
          <w:color w:val="auto"/>
        </w:rPr>
      </w:pPr>
      <w:r>
        <w:rPr>
          <w:rFonts w:hint="eastAsia"/>
          <w:color w:val="auto"/>
        </w:rPr>
        <w:t>为身体健康且年龄在75周岁以下的特困老人提供的普通餐食。每日能提供2000~2600kca1的总热量。应合理膳食、食物多样、制作细软、均衡营养。</w:t>
      </w:r>
    </w:p>
    <w:p>
      <w:pPr>
        <w:pStyle w:val="25"/>
        <w:numPr>
          <w:ilvl w:val="0"/>
          <w:numId w:val="9"/>
        </w:numPr>
        <w:ind w:left="0" w:leftChars="0" w:firstLine="400" w:firstLineChars="0"/>
        <w:rPr>
          <w:color w:val="auto"/>
        </w:rPr>
      </w:pPr>
      <w:r>
        <w:rPr>
          <w:rFonts w:hint="eastAsia"/>
          <w:color w:val="auto"/>
        </w:rPr>
        <w:t>年龄超过 75 周岁的老人提供软食或以软食为主，每日能提供·2000kca1~2400·kca1的总热量。</w:t>
      </w:r>
    </w:p>
    <w:p>
      <w:pPr>
        <w:pStyle w:val="25"/>
        <w:numPr>
          <w:ilvl w:val="0"/>
          <w:numId w:val="9"/>
        </w:numPr>
        <w:ind w:left="0" w:leftChars="0" w:firstLine="400" w:firstLineChars="0"/>
        <w:rPr>
          <w:color w:val="auto"/>
        </w:rPr>
      </w:pPr>
      <w:r>
        <w:rPr>
          <w:rFonts w:hint="eastAsia"/>
          <w:color w:val="auto"/>
        </w:rPr>
        <w:t>糖尿病老人避免提供油炸食品，宜增加膳食纤维的量，多提供蔬菜、麦麸、豆类等。</w:t>
      </w:r>
    </w:p>
    <w:p>
      <w:pPr>
        <w:pStyle w:val="25"/>
        <w:numPr>
          <w:ilvl w:val="0"/>
          <w:numId w:val="9"/>
        </w:numPr>
        <w:ind w:left="0" w:leftChars="0" w:firstLine="400" w:firstLineChars="0"/>
        <w:rPr>
          <w:color w:val="auto"/>
        </w:rPr>
      </w:pPr>
      <w:r>
        <w:rPr>
          <w:rFonts w:hint="eastAsia"/>
          <w:color w:val="auto"/>
        </w:rPr>
        <w:t>高血压老人控制所提供餐饮的热量，多提供蔬菜和水果，每日所提供餐食中盐的摄入量不得超过6g。</w:t>
      </w:r>
    </w:p>
    <w:p>
      <w:pPr>
        <w:pStyle w:val="25"/>
        <w:numPr>
          <w:ilvl w:val="0"/>
          <w:numId w:val="9"/>
        </w:numPr>
        <w:ind w:left="0" w:leftChars="0" w:firstLine="400" w:firstLineChars="0"/>
        <w:rPr>
          <w:color w:val="auto"/>
        </w:rPr>
      </w:pPr>
      <w:r>
        <w:rPr>
          <w:rFonts w:hint="eastAsia"/>
          <w:color w:val="auto"/>
        </w:rPr>
        <w:t>痛风患者的膳食应注重选择低漂吟食物。</w:t>
      </w:r>
    </w:p>
    <w:p>
      <w:pPr>
        <w:pStyle w:val="25"/>
        <w:numPr>
          <w:ilvl w:val="0"/>
          <w:numId w:val="9"/>
        </w:numPr>
        <w:ind w:left="0" w:leftChars="0" w:firstLine="400" w:firstLineChars="0"/>
        <w:rPr>
          <w:color w:val="auto"/>
        </w:rPr>
      </w:pPr>
      <w:r>
        <w:rPr>
          <w:rFonts w:hint="eastAsia"/>
          <w:color w:val="auto"/>
        </w:rPr>
        <w:t>便秘老人的膳食应提高富含膳食纤维的食物比例，如蔬菜、水果、粗杂粮等。</w:t>
      </w:r>
    </w:p>
    <w:p>
      <w:pPr>
        <w:pStyle w:val="25"/>
        <w:numPr>
          <w:ilvl w:val="0"/>
          <w:numId w:val="0"/>
        </w:numPr>
        <w:ind w:left="400" w:leftChars="0"/>
        <w:rPr>
          <w:rFonts w:hint="eastAsia" w:eastAsia="仿宋_GB2312"/>
          <w:color w:val="auto"/>
          <w:lang w:eastAsia="zh-CN"/>
        </w:rPr>
      </w:pPr>
      <w:r>
        <w:rPr>
          <w:color w:val="auto"/>
        </w:rPr>
        <w:t xml:space="preserve">7. </w:t>
      </w:r>
      <w:r>
        <w:rPr>
          <w:rFonts w:hint="eastAsia"/>
          <w:color w:val="auto"/>
          <w:lang w:val="en-US" w:eastAsia="zh-CN"/>
        </w:rPr>
        <w:t>服务</w:t>
      </w:r>
    </w:p>
    <w:p>
      <w:pPr>
        <w:pStyle w:val="25"/>
        <w:ind w:firstLine="0" w:firstLineChars="0"/>
        <w:rPr>
          <w:rFonts w:hint="default" w:eastAsia="仿宋_GB2312"/>
          <w:lang w:val="en-US" w:eastAsia="zh-CN"/>
        </w:rPr>
      </w:pPr>
      <w:r>
        <w:rPr>
          <w:rFonts w:hint="eastAsia"/>
          <w:lang w:val="en-US" w:eastAsia="zh-CN"/>
        </w:rPr>
        <w:t>（1）职业道德要求</w:t>
      </w:r>
    </w:p>
    <w:p>
      <w:pPr>
        <w:pStyle w:val="25"/>
        <w:ind w:firstLine="0" w:firstLineChars="0"/>
      </w:pPr>
      <w:r>
        <w:rPr>
          <w:rFonts w:hint="eastAsia"/>
        </w:rPr>
        <w:t>员工受过良好的职业道德教育，掌握职业道德基本知识。</w:t>
      </w:r>
    </w:p>
    <w:p>
      <w:pPr>
        <w:pStyle w:val="25"/>
        <w:ind w:firstLine="0" w:firstLineChars="0"/>
      </w:pPr>
      <w:r>
        <w:rPr>
          <w:rFonts w:hint="eastAsia"/>
        </w:rPr>
        <w:t>尊重顾客的民族习惯宗教信仰及个人生活习惯。</w:t>
      </w:r>
    </w:p>
    <w:p>
      <w:pPr>
        <w:pStyle w:val="25"/>
        <w:ind w:firstLine="0" w:firstLineChars="0"/>
      </w:pPr>
      <w:r>
        <w:rPr>
          <w:rFonts w:hint="eastAsia"/>
          <w:lang w:eastAsia="zh-CN"/>
        </w:rPr>
        <w:t>（</w:t>
      </w:r>
      <w:r>
        <w:rPr>
          <w:rFonts w:hint="eastAsia"/>
          <w:lang w:val="en-US" w:eastAsia="zh-CN"/>
        </w:rPr>
        <w:t>2</w:t>
      </w:r>
      <w:r>
        <w:rPr>
          <w:rFonts w:hint="eastAsia"/>
          <w:lang w:eastAsia="zh-CN"/>
        </w:rPr>
        <w:t>）</w:t>
      </w:r>
      <w:r>
        <w:rPr>
          <w:rFonts w:hint="eastAsia"/>
        </w:rPr>
        <w:t>仪容仪表要求</w:t>
      </w:r>
    </w:p>
    <w:p>
      <w:pPr>
        <w:pStyle w:val="25"/>
        <w:ind w:firstLine="0" w:firstLineChars="0"/>
      </w:pPr>
      <w:r>
        <w:rPr>
          <w:rFonts w:hint="eastAsia"/>
        </w:rPr>
        <w:t>员工根据岗位着工作服上岗；制服挺括、干净整洁无破损；统一佩戴口罩，位置端正。</w:t>
      </w:r>
    </w:p>
    <w:p>
      <w:pPr>
        <w:pStyle w:val="25"/>
        <w:ind w:firstLine="0" w:firstLineChars="0"/>
      </w:pPr>
      <w:r>
        <w:rPr>
          <w:rFonts w:hint="eastAsia"/>
        </w:rPr>
        <w:t>男员工头发后不过领、侧不盖耳。女员工发前不遮眼、后不过肩。</w:t>
      </w:r>
    </w:p>
    <w:p>
      <w:pPr>
        <w:pStyle w:val="25"/>
        <w:ind w:firstLine="0" w:firstLineChars="0"/>
      </w:pPr>
      <w:r>
        <w:rPr>
          <w:rFonts w:hint="eastAsia"/>
        </w:rPr>
        <w:t>容貌洁净：男员工不留胡须，女员工不化妆。</w:t>
      </w:r>
    </w:p>
    <w:p>
      <w:pPr>
        <w:pStyle w:val="25"/>
        <w:ind w:firstLine="0" w:firstLineChars="0"/>
      </w:pPr>
      <w:r>
        <w:rPr>
          <w:rFonts w:hint="eastAsia"/>
        </w:rPr>
        <w:t>双手干净：不留长指甲，不涂指甲油。员工仪容仪表符合服务岗位要求。</w:t>
      </w:r>
    </w:p>
    <w:p>
      <w:pPr>
        <w:pStyle w:val="25"/>
        <w:ind w:firstLine="0" w:firstLineChars="0"/>
      </w:pPr>
      <w:r>
        <w:rPr>
          <w:rFonts w:hint="eastAsia"/>
          <w:lang w:eastAsia="zh-CN"/>
        </w:rPr>
        <w:t>（</w:t>
      </w:r>
      <w:r>
        <w:rPr>
          <w:rFonts w:hint="eastAsia"/>
          <w:lang w:val="en-US" w:eastAsia="zh-CN"/>
        </w:rPr>
        <w:t>3</w:t>
      </w:r>
      <w:r>
        <w:rPr>
          <w:rFonts w:hint="eastAsia"/>
          <w:lang w:eastAsia="zh-CN"/>
        </w:rPr>
        <w:t>）</w:t>
      </w:r>
      <w:r>
        <w:rPr>
          <w:rFonts w:hint="eastAsia"/>
        </w:rPr>
        <w:t>礼貌礼仪要求</w:t>
      </w:r>
    </w:p>
    <w:p>
      <w:pPr>
        <w:pStyle w:val="25"/>
        <w:ind w:firstLine="0" w:firstLineChars="0"/>
      </w:pPr>
      <w:r>
        <w:rPr>
          <w:rFonts w:hint="eastAsia"/>
        </w:rPr>
        <w:t>对待顾客谦虚有礼，朴实大方，表情自然，面带微笑，态度诚恳。</w:t>
      </w:r>
    </w:p>
    <w:p>
      <w:pPr>
        <w:pStyle w:val="25"/>
        <w:ind w:firstLine="0" w:firstLineChars="0"/>
      </w:pPr>
      <w:r>
        <w:rPr>
          <w:rFonts w:hint="eastAsia"/>
        </w:rPr>
        <w:t>服务态度热情主动，客户至上，耐心周到。</w:t>
      </w:r>
    </w:p>
    <w:p>
      <w:pPr>
        <w:pStyle w:val="25"/>
        <w:ind w:firstLine="0" w:firstLineChars="0"/>
      </w:pPr>
      <w:r>
        <w:rPr>
          <w:rFonts w:hint="eastAsia"/>
        </w:rPr>
        <w:t>定期回访顾客的满意度情况，并有改进措施。</w:t>
      </w:r>
    </w:p>
    <w:p>
      <w:pPr>
        <w:pStyle w:val="25"/>
        <w:numPr>
          <w:ilvl w:val="0"/>
          <w:numId w:val="10"/>
        </w:numPr>
        <w:ind w:left="400" w:leftChars="0"/>
        <w:rPr>
          <w:rFonts w:hint="eastAsia"/>
          <w:color w:val="auto"/>
          <w:lang w:val="en-US" w:eastAsia="zh-CN"/>
        </w:rPr>
      </w:pPr>
      <w:r>
        <w:rPr>
          <w:rFonts w:hint="eastAsia"/>
          <w:color w:val="auto"/>
          <w:lang w:val="en-US" w:eastAsia="zh-CN"/>
        </w:rPr>
        <w:t>成品技术要求</w:t>
      </w:r>
    </w:p>
    <w:p>
      <w:pPr>
        <w:pStyle w:val="25"/>
        <w:ind w:firstLine="560" w:firstLineChars="200"/>
        <w:rPr>
          <w:rFonts w:hint="eastAsia"/>
          <w:color w:val="000000" w:themeColor="text1"/>
          <w:rPrChange w:id="0" w:author="大鹏" w:date="2024-01-17T09:27:46Z">
            <w:rPr>
              <w:rFonts w:hint="eastAsia"/>
              <w:color w:val="0000FF"/>
            </w:rPr>
          </w:rPrChange>
          <w14:textFill>
            <w14:solidFill>
              <w14:schemeClr w14:val="tx1"/>
            </w14:solidFill>
          </w14:textFill>
        </w:rPr>
      </w:pPr>
      <w:r>
        <w:rPr>
          <w:rFonts w:hint="eastAsia"/>
          <w:color w:val="000000" w:themeColor="text1"/>
          <w:lang w:val="en-US" w:eastAsia="zh-CN"/>
          <w:rPrChange w:id="1" w:author="大鹏" w:date="2024-01-17T09:27:46Z">
            <w:rPr>
              <w:rFonts w:hint="eastAsia"/>
              <w:color w:val="0000FF"/>
              <w:lang w:val="en-US" w:eastAsia="zh-CN"/>
            </w:rPr>
          </w:rPrChange>
          <w14:textFill>
            <w14:solidFill>
              <w14:schemeClr w14:val="tx1"/>
            </w14:solidFill>
          </w14:textFill>
        </w:rPr>
        <w:t>对成品的感官、中心温度、微生物限量及食品添加剂等</w:t>
      </w:r>
      <w:r>
        <w:rPr>
          <w:rFonts w:hint="eastAsia"/>
          <w:color w:val="000000" w:themeColor="text1"/>
          <w:rPrChange w:id="2" w:author="大鹏" w:date="2024-01-17T09:27:46Z">
            <w:rPr>
              <w:rFonts w:hint="eastAsia"/>
              <w:color w:val="0000FF"/>
            </w:rPr>
          </w:rPrChange>
          <w14:textFill>
            <w14:solidFill>
              <w14:schemeClr w14:val="tx1"/>
            </w14:solidFill>
          </w14:textFill>
        </w:rPr>
        <w:t>指标</w:t>
      </w:r>
      <w:r>
        <w:rPr>
          <w:rFonts w:hint="eastAsia"/>
          <w:color w:val="000000" w:themeColor="text1"/>
          <w:lang w:val="en-US" w:eastAsia="zh-CN"/>
          <w:rPrChange w:id="3" w:author="大鹏" w:date="2024-01-17T09:27:46Z">
            <w:rPr>
              <w:rFonts w:hint="eastAsia"/>
              <w:color w:val="0000FF"/>
              <w:lang w:val="en-US" w:eastAsia="zh-CN"/>
            </w:rPr>
          </w:rPrChange>
          <w14:textFill>
            <w14:solidFill>
              <w14:schemeClr w14:val="tx1"/>
            </w14:solidFill>
          </w14:textFill>
        </w:rPr>
        <w:t>进行了详细要求</w:t>
      </w:r>
      <w:r>
        <w:rPr>
          <w:rFonts w:hint="eastAsia"/>
          <w:color w:val="000000" w:themeColor="text1"/>
          <w:rPrChange w:id="4" w:author="大鹏" w:date="2024-01-17T09:27:46Z">
            <w:rPr>
              <w:rFonts w:hint="eastAsia"/>
              <w:color w:val="0000FF"/>
            </w:rPr>
          </w:rPrChange>
          <w14:textFill>
            <w14:solidFill>
              <w14:schemeClr w14:val="tx1"/>
            </w14:solidFill>
          </w14:textFill>
        </w:rPr>
        <w:t>。</w:t>
      </w:r>
    </w:p>
    <w:p>
      <w:pPr>
        <w:pStyle w:val="25"/>
        <w:numPr>
          <w:ilvl w:val="0"/>
          <w:numId w:val="10"/>
        </w:numPr>
        <w:ind w:left="400" w:firstLine="560" w:firstLineChars="200"/>
        <w:rPr>
          <w:rFonts w:hint="eastAsia"/>
          <w:color w:val="000000" w:themeColor="text1"/>
          <w:lang w:val="en-US" w:eastAsia="zh-CN"/>
          <w:rPrChange w:id="5" w:author="大鹏" w:date="2024-01-17T09:27:46Z">
            <w:rPr>
              <w:rFonts w:hint="eastAsia"/>
              <w:color w:val="0000FF"/>
              <w:lang w:val="en-US" w:eastAsia="zh-CN"/>
            </w:rPr>
          </w:rPrChange>
          <w14:textFill>
            <w14:solidFill>
              <w14:schemeClr w14:val="tx1"/>
            </w14:solidFill>
          </w14:textFill>
        </w:rPr>
      </w:pPr>
      <w:r>
        <w:rPr>
          <w:rFonts w:hint="eastAsia"/>
          <w:color w:val="000000" w:themeColor="text1"/>
          <w:lang w:val="en-US" w:eastAsia="zh-CN"/>
          <w:rPrChange w:id="6" w:author="大鹏" w:date="2024-01-17T09:27:46Z">
            <w:rPr>
              <w:rFonts w:hint="eastAsia"/>
              <w:color w:val="0000FF"/>
              <w:lang w:val="en-US" w:eastAsia="zh-CN"/>
            </w:rPr>
          </w:rPrChange>
          <w14:textFill>
            <w14:solidFill>
              <w14:schemeClr w14:val="tx1"/>
            </w14:solidFill>
          </w14:textFill>
        </w:rPr>
        <w:t>安全</w:t>
      </w:r>
    </w:p>
    <w:p>
      <w:pPr>
        <w:pStyle w:val="25"/>
        <w:numPr>
          <w:ilvl w:val="-1"/>
          <w:numId w:val="0"/>
        </w:numPr>
        <w:ind w:left="0" w:leftChars="0" w:firstLine="560" w:firstLineChars="200"/>
        <w:rPr>
          <w:rFonts w:hint="default"/>
          <w:color w:val="0000FF"/>
        </w:rPr>
      </w:pPr>
      <w:r>
        <w:rPr>
          <w:rFonts w:hint="eastAsia"/>
          <w:lang w:val="en-US" w:eastAsia="zh-CN"/>
        </w:rPr>
        <w:t>对</w:t>
      </w:r>
      <w:r>
        <w:rPr>
          <w:rFonts w:hint="eastAsia"/>
        </w:rPr>
        <w:t>餐饮服务单位</w:t>
      </w:r>
      <w:r>
        <w:rPr>
          <w:rFonts w:hint="eastAsia"/>
          <w:lang w:val="en-US" w:eastAsia="zh-CN"/>
        </w:rPr>
        <w:t>的</w:t>
      </w:r>
      <w:r>
        <w:rPr>
          <w:rFonts w:hint="eastAsia"/>
        </w:rPr>
        <w:t>应急预案</w:t>
      </w:r>
      <w:r>
        <w:rPr>
          <w:rFonts w:hint="eastAsia"/>
          <w:lang w:eastAsia="zh-CN"/>
        </w:rPr>
        <w:t>、</w:t>
      </w:r>
      <w:r>
        <w:rPr>
          <w:rFonts w:hint="eastAsia"/>
        </w:rPr>
        <w:t>厨房设备</w:t>
      </w:r>
      <w:r>
        <w:rPr>
          <w:rFonts w:hint="eastAsia"/>
          <w:lang w:val="en-US" w:eastAsia="zh-CN"/>
        </w:rPr>
        <w:t>安全使用及消防安全知识培训的提出了要求。</w:t>
      </w:r>
      <w:bookmarkStart w:id="0" w:name="_GoBack"/>
      <w:bookmarkEnd w:id="0"/>
    </w:p>
    <w:p>
      <w:pPr>
        <w:pStyle w:val="23"/>
        <w:numPr>
          <w:ilvl w:val="0"/>
          <w:numId w:val="0"/>
        </w:numPr>
        <w:spacing w:before="93" w:after="93"/>
        <w:ind w:left="600"/>
      </w:pPr>
      <w:r>
        <w:t>三、</w:t>
      </w:r>
      <w:r>
        <w:rPr>
          <w:rFonts w:hint="eastAsia"/>
        </w:rPr>
        <w:t>主要预期社会经济效益分析</w:t>
      </w:r>
    </w:p>
    <w:p>
      <w:pPr>
        <w:pStyle w:val="25"/>
        <w:keepNext w:val="0"/>
        <w:keepLines w:val="0"/>
        <w:pageBreakBefore w:val="0"/>
        <w:widowControl/>
        <w:kinsoku/>
        <w:wordWrap/>
        <w:overflowPunct/>
        <w:topLinePunct w:val="0"/>
        <w:autoSpaceDE w:val="0"/>
        <w:autoSpaceDN w:val="0"/>
        <w:bidi w:val="0"/>
        <w:adjustRightInd/>
        <w:snapToGrid/>
        <w:ind w:firstLine="560" w:firstLineChars="200"/>
        <w:textAlignment w:val="auto"/>
      </w:pPr>
      <w:r>
        <w:rPr>
          <w:rFonts w:hint="eastAsia"/>
        </w:rPr>
        <w:t>目前无适用的标准对辽宁省内集体用餐</w:t>
      </w:r>
      <w:r>
        <w:rPr>
          <w:rFonts w:hint="eastAsia"/>
          <w:lang w:val="en-US" w:eastAsia="zh-CN"/>
        </w:rPr>
        <w:t>服务、检查、</w:t>
      </w:r>
      <w:r>
        <w:rPr>
          <w:rFonts w:hint="eastAsia"/>
        </w:rPr>
        <w:t>检测结果进行评判，国家和行业层面又缺乏相关标准加以规范，因此本标准的制定，旨在针对集体用餐</w:t>
      </w:r>
      <w:r>
        <w:rPr>
          <w:rFonts w:hint="eastAsia"/>
          <w:lang w:val="en-US" w:eastAsia="zh-CN"/>
        </w:rPr>
        <w:t>服务</w:t>
      </w:r>
      <w:r>
        <w:rPr>
          <w:rFonts w:hint="eastAsia"/>
        </w:rPr>
        <w:t>方面作出要求，适用于集体用餐</w:t>
      </w:r>
      <w:r>
        <w:rPr>
          <w:rFonts w:hint="eastAsia"/>
          <w:lang w:val="en-US" w:eastAsia="zh-CN"/>
        </w:rPr>
        <w:t>服务标准、集体用餐及配送膳食的</w:t>
      </w:r>
      <w:r>
        <w:rPr>
          <w:rFonts w:hint="eastAsia"/>
        </w:rPr>
        <w:t>卫生评价，为我省集体用餐</w:t>
      </w:r>
      <w:r>
        <w:rPr>
          <w:rFonts w:hint="eastAsia"/>
          <w:lang w:val="en-US" w:eastAsia="zh-CN"/>
        </w:rPr>
        <w:t>服务</w:t>
      </w:r>
      <w:r>
        <w:rPr>
          <w:rFonts w:hint="eastAsia"/>
        </w:rPr>
        <w:t>质量控制和质量监督提供可靠的依据和手段，有利于生产企业与管理部门在产品质量管理方面的协调统一。</w:t>
      </w:r>
    </w:p>
    <w:p>
      <w:pPr>
        <w:pStyle w:val="23"/>
        <w:numPr>
          <w:ilvl w:val="0"/>
          <w:numId w:val="0"/>
        </w:numPr>
        <w:spacing w:before="93" w:after="93"/>
        <w:ind w:left="600"/>
      </w:pPr>
      <w:r>
        <w:t>四、</w:t>
      </w:r>
      <w:r>
        <w:rPr>
          <w:rFonts w:hint="eastAsia"/>
        </w:rPr>
        <w:t>与有关法律、法规和标准的关系</w:t>
      </w:r>
    </w:p>
    <w:p>
      <w:pPr>
        <w:pStyle w:val="25"/>
        <w:keepNext w:val="0"/>
        <w:keepLines w:val="0"/>
        <w:pageBreakBefore w:val="0"/>
        <w:widowControl/>
        <w:kinsoku/>
        <w:wordWrap/>
        <w:overflowPunct/>
        <w:topLinePunct w:val="0"/>
        <w:autoSpaceDE w:val="0"/>
        <w:autoSpaceDN w:val="0"/>
        <w:bidi w:val="0"/>
        <w:adjustRightInd/>
        <w:snapToGrid/>
        <w:ind w:firstLine="560" w:firstLineChars="200"/>
        <w:textAlignment w:val="auto"/>
        <w:rPr>
          <w:rFonts w:hint="eastAsia"/>
        </w:rPr>
      </w:pPr>
      <w:r>
        <w:rPr>
          <w:rFonts w:hint="eastAsia"/>
          <w:lang w:val="en-US" w:eastAsia="zh-CN"/>
        </w:rPr>
        <w:t>目前存在《食品安全法》、《食品安全法实施条例》、《餐饮服务食品安全监督管理办法》、《餐饮服务食品安全操作规范》、《餐饮服务食品采购索证索票管理规范》、《食品安全管理体系餐饮业要求》、《中央厨房卫生规范》、《食品生产企业通用卫生规范》（GB14881）、《食品安全国家标准 餐饮服务通用卫生规范》等法律、法规、规章、技术规范、标准。相关的地方标准有2个，分别是上海市地方标准DB 31/2023-2014《食品安全地方标准 集体用餐配送膳食》和江苏省地方标准DBS 32/003-2014《食品安全地方标准 集体用餐配送膳食》。该版团体标准是在餐饮服务行业中以集体用餐服务、膳食的食品安全要求为侧重点，为提升集体用餐服务、食品安全卫生水平为目的。</w:t>
      </w:r>
    </w:p>
    <w:p>
      <w:pPr>
        <w:pStyle w:val="23"/>
        <w:numPr>
          <w:ilvl w:val="0"/>
          <w:numId w:val="11"/>
        </w:numPr>
        <w:spacing w:before="93" w:after="93"/>
        <w:ind w:firstLineChars="0"/>
      </w:pPr>
      <w:r>
        <w:rPr>
          <w:rFonts w:hint="eastAsia"/>
        </w:rPr>
        <w:t>征求意见和分歧处理情况</w:t>
      </w:r>
    </w:p>
    <w:p>
      <w:pPr>
        <w:pStyle w:val="25"/>
        <w:ind w:firstLine="560"/>
      </w:pPr>
      <w:r>
        <w:t>无</w:t>
      </w:r>
    </w:p>
    <w:p>
      <w:pPr>
        <w:pStyle w:val="23"/>
        <w:numPr>
          <w:ilvl w:val="0"/>
          <w:numId w:val="0"/>
        </w:numPr>
        <w:spacing w:before="93" w:after="93"/>
        <w:ind w:left="708"/>
      </w:pPr>
      <w:r>
        <w:rPr>
          <w:rFonts w:hint="eastAsia"/>
        </w:rPr>
        <w:t>六、推动标准实施的措施建议</w:t>
      </w:r>
    </w:p>
    <w:p>
      <w:pPr>
        <w:pStyle w:val="25"/>
        <w:ind w:firstLine="560"/>
      </w:pPr>
      <w:r>
        <w:rPr>
          <w:rFonts w:hint="eastAsia"/>
        </w:rPr>
        <w:t>标准发布后，应组织</w:t>
      </w:r>
      <w:r>
        <w:rPr>
          <w:rFonts w:hint="eastAsia"/>
          <w:lang w:val="en-US" w:eastAsia="zh-CN"/>
        </w:rPr>
        <w:t>相关</w:t>
      </w:r>
      <w:r>
        <w:rPr>
          <w:rFonts w:hint="eastAsia"/>
        </w:rPr>
        <w:t>单位和技术人员进行宣贯培训；主管部门</w:t>
      </w:r>
      <w:r>
        <w:rPr>
          <w:rFonts w:hint="eastAsia"/>
          <w:lang w:val="en-US" w:eastAsia="zh-CN"/>
        </w:rPr>
        <w:t>也可</w:t>
      </w:r>
      <w:r>
        <w:rPr>
          <w:rFonts w:hint="eastAsia"/>
        </w:rPr>
        <w:t>对标准的实施情况进行检查，</w:t>
      </w:r>
      <w:r>
        <w:rPr>
          <w:rFonts w:hint="eastAsia"/>
          <w:lang w:val="en-US" w:eastAsia="zh-CN"/>
        </w:rPr>
        <w:t>加强标准的实施和应用，</w:t>
      </w:r>
      <w:r>
        <w:rPr>
          <w:rFonts w:hint="eastAsia"/>
        </w:rPr>
        <w:t>发现问题及时反馈，闭环管理，确保相关单位的正确理解和执行。</w:t>
      </w:r>
    </w:p>
    <w:p>
      <w:pPr>
        <w:pStyle w:val="23"/>
        <w:numPr>
          <w:ilvl w:val="0"/>
          <w:numId w:val="0"/>
        </w:numPr>
        <w:spacing w:before="93" w:after="93"/>
        <w:ind w:left="600"/>
      </w:pPr>
      <w:r>
        <w:t>七、</w:t>
      </w:r>
      <w:r>
        <w:rPr>
          <w:rFonts w:hint="eastAsia"/>
        </w:rPr>
        <w:t>其他应说明的事项</w:t>
      </w:r>
    </w:p>
    <w:p>
      <w:pPr>
        <w:pStyle w:val="25"/>
        <w:ind w:firstLine="560"/>
        <w:rPr>
          <w:color w:val="000000" w:themeColor="text1"/>
          <w14:textFill>
            <w14:solidFill>
              <w14:schemeClr w14:val="tx1"/>
            </w14:solidFill>
          </w14:textFill>
        </w:rPr>
      </w:pPr>
      <w:r>
        <w:rPr>
          <w:color w:val="000000" w:themeColor="text1"/>
          <w14:textFill>
            <w14:solidFill>
              <w14:schemeClr w14:val="tx1"/>
            </w14:solidFill>
          </w14:textFill>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BD92E6"/>
    <w:multiLevelType w:val="singleLevel"/>
    <w:tmpl w:val="8BBD92E6"/>
    <w:lvl w:ilvl="0" w:tentative="0">
      <w:start w:val="8"/>
      <w:numFmt w:val="decimal"/>
      <w:lvlText w:val="%1."/>
      <w:lvlJc w:val="left"/>
      <w:pPr>
        <w:tabs>
          <w:tab w:val="left" w:pos="312"/>
        </w:tabs>
      </w:pPr>
    </w:lvl>
  </w:abstractNum>
  <w:abstractNum w:abstractNumId="1">
    <w:nsid w:val="943344FA"/>
    <w:multiLevelType w:val="singleLevel"/>
    <w:tmpl w:val="943344FA"/>
    <w:lvl w:ilvl="0" w:tentative="0">
      <w:start w:val="1"/>
      <w:numFmt w:val="decimal"/>
      <w:lvlText w:val="(%1)"/>
      <w:lvlJc w:val="left"/>
      <w:pPr>
        <w:ind w:left="425" w:hanging="425"/>
      </w:pPr>
      <w:rPr>
        <w:rFonts w:hint="default"/>
      </w:rPr>
    </w:lvl>
  </w:abstractNum>
  <w:abstractNum w:abstractNumId="2">
    <w:nsid w:val="BEB132AF"/>
    <w:multiLevelType w:val="singleLevel"/>
    <w:tmpl w:val="BEB132AF"/>
    <w:lvl w:ilvl="0" w:tentative="0">
      <w:start w:val="1"/>
      <w:numFmt w:val="decimalEnclosedCircleChinese"/>
      <w:suff w:val="nothing"/>
      <w:lvlText w:val="%1　"/>
      <w:lvlJc w:val="left"/>
      <w:pPr>
        <w:ind w:left="0" w:firstLine="400"/>
      </w:pPr>
      <w:rPr>
        <w:rFonts w:hint="eastAsia"/>
      </w:rPr>
    </w:lvl>
  </w:abstractNum>
  <w:abstractNum w:abstractNumId="3">
    <w:nsid w:val="44C50F90"/>
    <w:multiLevelType w:val="multilevel"/>
    <w:tmpl w:val="44C50F90"/>
    <w:lvl w:ilvl="0" w:tentative="0">
      <w:start w:val="1"/>
      <w:numFmt w:val="lowerLetter"/>
      <w:pStyle w:val="33"/>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4BC39857"/>
    <w:multiLevelType w:val="singleLevel"/>
    <w:tmpl w:val="4BC39857"/>
    <w:lvl w:ilvl="0" w:tentative="0">
      <w:start w:val="1"/>
      <w:numFmt w:val="decimalEnclosedCircleChinese"/>
      <w:suff w:val="nothing"/>
      <w:lvlText w:val="%1　"/>
      <w:lvlJc w:val="left"/>
      <w:pPr>
        <w:ind w:left="0" w:firstLine="400"/>
      </w:pPr>
      <w:rPr>
        <w:rFonts w:hint="eastAsia"/>
      </w:rPr>
    </w:lvl>
  </w:abstractNum>
  <w:abstractNum w:abstractNumId="5">
    <w:nsid w:val="4F121CAA"/>
    <w:multiLevelType w:val="multilevel"/>
    <w:tmpl w:val="4F121CAA"/>
    <w:lvl w:ilvl="0" w:tentative="0">
      <w:start w:val="1"/>
      <w:numFmt w:val="decimal"/>
      <w:pStyle w:val="20"/>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640020F0"/>
    <w:multiLevelType w:val="multilevel"/>
    <w:tmpl w:val="640020F0"/>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8"/>
      <w:suff w:val="nothing"/>
      <w:lvlText w:val="%1%2　"/>
      <w:lvlJc w:val="left"/>
      <w:pPr>
        <w:ind w:left="567" w:firstLine="0"/>
      </w:pPr>
      <w:rPr>
        <w:rFonts w:hint="eastAsia" w:ascii="黑体" w:eastAsia="黑体"/>
        <w:b w:val="0"/>
        <w:i w:val="0"/>
        <w:sz w:val="21"/>
      </w:rPr>
    </w:lvl>
    <w:lvl w:ilvl="2" w:tentative="0">
      <w:start w:val="1"/>
      <w:numFmt w:val="decimal"/>
      <w:pStyle w:val="27"/>
      <w:suff w:val="nothing"/>
      <w:lvlText w:val="%1%2.%3　"/>
      <w:lvlJc w:val="left"/>
      <w:pPr>
        <w:ind w:left="354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29"/>
      <w:suff w:val="nothing"/>
      <w:lvlText w:val="%1%2.%3.%4　"/>
      <w:lvlJc w:val="left"/>
      <w:pPr>
        <w:ind w:left="1276" w:firstLine="0"/>
      </w:pPr>
      <w:rPr>
        <w:rFonts w:hint="eastAsia" w:ascii="黑体" w:eastAsia="黑体"/>
        <w:b w:val="0"/>
        <w:i w:val="0"/>
        <w:sz w:val="21"/>
      </w:rPr>
    </w:lvl>
    <w:lvl w:ilvl="4" w:tentative="0">
      <w:start w:val="1"/>
      <w:numFmt w:val="decimal"/>
      <w:pStyle w:val="30"/>
      <w:suff w:val="nothing"/>
      <w:lvlText w:val="%1%2.%3.%4.%5　"/>
      <w:lvlJc w:val="left"/>
      <w:pPr>
        <w:ind w:left="156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6F8D50C1"/>
    <w:multiLevelType w:val="multilevel"/>
    <w:tmpl w:val="6F8D50C1"/>
    <w:lvl w:ilvl="0" w:tentative="0">
      <w:start w:val="1"/>
      <w:numFmt w:val="japaneseCounting"/>
      <w:pStyle w:val="23"/>
      <w:lvlText w:val="%1、"/>
      <w:lvlJc w:val="left"/>
      <w:pPr>
        <w:ind w:left="1128" w:hanging="420"/>
      </w:pPr>
      <w:rPr>
        <w:rFonts w:hint="default"/>
      </w:r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9">
    <w:nsid w:val="7C9C485D"/>
    <w:multiLevelType w:val="multilevel"/>
    <w:tmpl w:val="7C9C485D"/>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0">
    <w:nsid w:val="7E606F06"/>
    <w:multiLevelType w:val="multilevel"/>
    <w:tmpl w:val="7E606F06"/>
    <w:lvl w:ilvl="0" w:tentative="0">
      <w:start w:val="5"/>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5"/>
  </w:num>
  <w:num w:numId="2">
    <w:abstractNumId w:val="8"/>
  </w:num>
  <w:num w:numId="3">
    <w:abstractNumId w:val="7"/>
  </w:num>
  <w:num w:numId="4">
    <w:abstractNumId w:val="3"/>
  </w:num>
  <w:num w:numId="5">
    <w:abstractNumId w:val="9"/>
  </w:num>
  <w:num w:numId="6">
    <w:abstractNumId w:val="6"/>
  </w:num>
  <w:num w:numId="7">
    <w:abstractNumId w:val="1"/>
  </w:num>
  <w:num w:numId="8">
    <w:abstractNumId w:val="2"/>
  </w:num>
  <w:num w:numId="9">
    <w:abstractNumId w:val="4"/>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大鹏">
    <w15:presenceInfo w15:providerId="WPS Office" w15:userId="1752118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0Yjc2YWZkM2E1ZmUxOTU5NGI5MWMxZDVjMzMwZTYifQ=="/>
  </w:docVars>
  <w:rsids>
    <w:rsidRoot w:val="00146AB6"/>
    <w:rsid w:val="00006F1E"/>
    <w:rsid w:val="0001007D"/>
    <w:rsid w:val="00017527"/>
    <w:rsid w:val="00020E8C"/>
    <w:rsid w:val="0003025E"/>
    <w:rsid w:val="00033953"/>
    <w:rsid w:val="00035A8B"/>
    <w:rsid w:val="00036234"/>
    <w:rsid w:val="000405F6"/>
    <w:rsid w:val="000414A9"/>
    <w:rsid w:val="00050BCB"/>
    <w:rsid w:val="00051E32"/>
    <w:rsid w:val="0005338C"/>
    <w:rsid w:val="000632B9"/>
    <w:rsid w:val="000817C9"/>
    <w:rsid w:val="0009390F"/>
    <w:rsid w:val="00093FB7"/>
    <w:rsid w:val="000A17A7"/>
    <w:rsid w:val="000B6613"/>
    <w:rsid w:val="000C3935"/>
    <w:rsid w:val="000C4B40"/>
    <w:rsid w:val="000C7AD5"/>
    <w:rsid w:val="000F7C21"/>
    <w:rsid w:val="001005C9"/>
    <w:rsid w:val="001046DA"/>
    <w:rsid w:val="00110FD1"/>
    <w:rsid w:val="0013677E"/>
    <w:rsid w:val="00146AB6"/>
    <w:rsid w:val="001541C7"/>
    <w:rsid w:val="001564F8"/>
    <w:rsid w:val="00163AA5"/>
    <w:rsid w:val="00173AC8"/>
    <w:rsid w:val="00183496"/>
    <w:rsid w:val="00190396"/>
    <w:rsid w:val="0019547C"/>
    <w:rsid w:val="001A51F5"/>
    <w:rsid w:val="001B0F26"/>
    <w:rsid w:val="001B42D6"/>
    <w:rsid w:val="001D1E95"/>
    <w:rsid w:val="001D314C"/>
    <w:rsid w:val="001E53F6"/>
    <w:rsid w:val="001F2C4A"/>
    <w:rsid w:val="00205039"/>
    <w:rsid w:val="002079CF"/>
    <w:rsid w:val="00231D8B"/>
    <w:rsid w:val="0023315A"/>
    <w:rsid w:val="00234A75"/>
    <w:rsid w:val="00240E7C"/>
    <w:rsid w:val="002452E3"/>
    <w:rsid w:val="00257014"/>
    <w:rsid w:val="002743C7"/>
    <w:rsid w:val="0028191C"/>
    <w:rsid w:val="002838F3"/>
    <w:rsid w:val="002A0057"/>
    <w:rsid w:val="002E501E"/>
    <w:rsid w:val="002E6FE8"/>
    <w:rsid w:val="002E7C42"/>
    <w:rsid w:val="002F14B7"/>
    <w:rsid w:val="002F175F"/>
    <w:rsid w:val="002F7E0D"/>
    <w:rsid w:val="00302F52"/>
    <w:rsid w:val="003064E2"/>
    <w:rsid w:val="00307752"/>
    <w:rsid w:val="00316F0D"/>
    <w:rsid w:val="0032021E"/>
    <w:rsid w:val="0032559D"/>
    <w:rsid w:val="003305F9"/>
    <w:rsid w:val="00331462"/>
    <w:rsid w:val="0035494B"/>
    <w:rsid w:val="00355BF5"/>
    <w:rsid w:val="003573F5"/>
    <w:rsid w:val="00360EB6"/>
    <w:rsid w:val="003800DF"/>
    <w:rsid w:val="003853E5"/>
    <w:rsid w:val="003A39BC"/>
    <w:rsid w:val="003B6123"/>
    <w:rsid w:val="003C1AA1"/>
    <w:rsid w:val="0040102B"/>
    <w:rsid w:val="00402B5F"/>
    <w:rsid w:val="004126DB"/>
    <w:rsid w:val="00427AE1"/>
    <w:rsid w:val="00433DF3"/>
    <w:rsid w:val="00447E73"/>
    <w:rsid w:val="00464FA5"/>
    <w:rsid w:val="00470EC2"/>
    <w:rsid w:val="00472CC9"/>
    <w:rsid w:val="0047604C"/>
    <w:rsid w:val="0048639A"/>
    <w:rsid w:val="004A2D03"/>
    <w:rsid w:val="004A566D"/>
    <w:rsid w:val="004B19E4"/>
    <w:rsid w:val="004B7D4E"/>
    <w:rsid w:val="004C2732"/>
    <w:rsid w:val="004C47A7"/>
    <w:rsid w:val="004D72BE"/>
    <w:rsid w:val="004E5931"/>
    <w:rsid w:val="00500808"/>
    <w:rsid w:val="0050362F"/>
    <w:rsid w:val="0051666A"/>
    <w:rsid w:val="0052730F"/>
    <w:rsid w:val="0053406D"/>
    <w:rsid w:val="005357F1"/>
    <w:rsid w:val="00543D42"/>
    <w:rsid w:val="00555463"/>
    <w:rsid w:val="00560CFE"/>
    <w:rsid w:val="00562AD0"/>
    <w:rsid w:val="005733D3"/>
    <w:rsid w:val="0057398E"/>
    <w:rsid w:val="005945ED"/>
    <w:rsid w:val="005946BC"/>
    <w:rsid w:val="00594999"/>
    <w:rsid w:val="00594E39"/>
    <w:rsid w:val="005B308B"/>
    <w:rsid w:val="005C1D7C"/>
    <w:rsid w:val="005D3C00"/>
    <w:rsid w:val="005D5A16"/>
    <w:rsid w:val="005F169B"/>
    <w:rsid w:val="006100AD"/>
    <w:rsid w:val="00623CC8"/>
    <w:rsid w:val="0064241F"/>
    <w:rsid w:val="0064393E"/>
    <w:rsid w:val="00643B22"/>
    <w:rsid w:val="006601FE"/>
    <w:rsid w:val="00662E99"/>
    <w:rsid w:val="00663F35"/>
    <w:rsid w:val="00683A4A"/>
    <w:rsid w:val="00694D8F"/>
    <w:rsid w:val="006A25A4"/>
    <w:rsid w:val="006B2937"/>
    <w:rsid w:val="006B6F3E"/>
    <w:rsid w:val="006D1C6A"/>
    <w:rsid w:val="006F2545"/>
    <w:rsid w:val="006F7F27"/>
    <w:rsid w:val="007135CB"/>
    <w:rsid w:val="00754948"/>
    <w:rsid w:val="007600C4"/>
    <w:rsid w:val="00771DFC"/>
    <w:rsid w:val="007A0C32"/>
    <w:rsid w:val="007A56D8"/>
    <w:rsid w:val="007A6F04"/>
    <w:rsid w:val="007A7F28"/>
    <w:rsid w:val="007B2BEB"/>
    <w:rsid w:val="007B48D7"/>
    <w:rsid w:val="007B616B"/>
    <w:rsid w:val="007C6190"/>
    <w:rsid w:val="007D305E"/>
    <w:rsid w:val="007F5677"/>
    <w:rsid w:val="0080260A"/>
    <w:rsid w:val="00805465"/>
    <w:rsid w:val="00806285"/>
    <w:rsid w:val="00806E8A"/>
    <w:rsid w:val="008213CF"/>
    <w:rsid w:val="00830B8D"/>
    <w:rsid w:val="00831403"/>
    <w:rsid w:val="008333E9"/>
    <w:rsid w:val="0083583D"/>
    <w:rsid w:val="00840E77"/>
    <w:rsid w:val="00847561"/>
    <w:rsid w:val="00852E30"/>
    <w:rsid w:val="00861BC0"/>
    <w:rsid w:val="008653C7"/>
    <w:rsid w:val="0086704D"/>
    <w:rsid w:val="008826AC"/>
    <w:rsid w:val="00895F82"/>
    <w:rsid w:val="008B61FD"/>
    <w:rsid w:val="008C0BF5"/>
    <w:rsid w:val="008C5C38"/>
    <w:rsid w:val="008C7C87"/>
    <w:rsid w:val="008E2554"/>
    <w:rsid w:val="008F474A"/>
    <w:rsid w:val="00923DAF"/>
    <w:rsid w:val="009312D9"/>
    <w:rsid w:val="00934AB3"/>
    <w:rsid w:val="00936577"/>
    <w:rsid w:val="00944DF9"/>
    <w:rsid w:val="0095739B"/>
    <w:rsid w:val="00963AAC"/>
    <w:rsid w:val="00964177"/>
    <w:rsid w:val="009702D5"/>
    <w:rsid w:val="00981D44"/>
    <w:rsid w:val="00990AA6"/>
    <w:rsid w:val="00994965"/>
    <w:rsid w:val="00995EEE"/>
    <w:rsid w:val="009C59C9"/>
    <w:rsid w:val="009D4364"/>
    <w:rsid w:val="009D53D0"/>
    <w:rsid w:val="009D56C7"/>
    <w:rsid w:val="009D7C71"/>
    <w:rsid w:val="00A019CF"/>
    <w:rsid w:val="00A05457"/>
    <w:rsid w:val="00A2483C"/>
    <w:rsid w:val="00A31BB7"/>
    <w:rsid w:val="00A50D90"/>
    <w:rsid w:val="00A6042C"/>
    <w:rsid w:val="00A64685"/>
    <w:rsid w:val="00A70437"/>
    <w:rsid w:val="00A7581C"/>
    <w:rsid w:val="00A82C9A"/>
    <w:rsid w:val="00A856D1"/>
    <w:rsid w:val="00A91F08"/>
    <w:rsid w:val="00AC4ADE"/>
    <w:rsid w:val="00AD038D"/>
    <w:rsid w:val="00AE2C02"/>
    <w:rsid w:val="00AF40CB"/>
    <w:rsid w:val="00AF41E0"/>
    <w:rsid w:val="00AF6762"/>
    <w:rsid w:val="00AF6A72"/>
    <w:rsid w:val="00B162F8"/>
    <w:rsid w:val="00B243D4"/>
    <w:rsid w:val="00B32EE7"/>
    <w:rsid w:val="00B34DF4"/>
    <w:rsid w:val="00B37821"/>
    <w:rsid w:val="00B449C9"/>
    <w:rsid w:val="00B53080"/>
    <w:rsid w:val="00B63BD9"/>
    <w:rsid w:val="00B72B82"/>
    <w:rsid w:val="00B76354"/>
    <w:rsid w:val="00B802A3"/>
    <w:rsid w:val="00B81A1F"/>
    <w:rsid w:val="00BA26E3"/>
    <w:rsid w:val="00BB2191"/>
    <w:rsid w:val="00BB6612"/>
    <w:rsid w:val="00BE5FBF"/>
    <w:rsid w:val="00BF4719"/>
    <w:rsid w:val="00BF6AD7"/>
    <w:rsid w:val="00BF6EC7"/>
    <w:rsid w:val="00C02382"/>
    <w:rsid w:val="00C1247E"/>
    <w:rsid w:val="00C14BEC"/>
    <w:rsid w:val="00C15019"/>
    <w:rsid w:val="00C21E32"/>
    <w:rsid w:val="00C40411"/>
    <w:rsid w:val="00C425AE"/>
    <w:rsid w:val="00C54451"/>
    <w:rsid w:val="00C65B18"/>
    <w:rsid w:val="00C76163"/>
    <w:rsid w:val="00C806D4"/>
    <w:rsid w:val="00C83655"/>
    <w:rsid w:val="00C84E9D"/>
    <w:rsid w:val="00C86389"/>
    <w:rsid w:val="00C949B3"/>
    <w:rsid w:val="00C97F17"/>
    <w:rsid w:val="00CA5CB8"/>
    <w:rsid w:val="00CA5EB0"/>
    <w:rsid w:val="00CB03CD"/>
    <w:rsid w:val="00CD5003"/>
    <w:rsid w:val="00CD593D"/>
    <w:rsid w:val="00CF5EC6"/>
    <w:rsid w:val="00D03A15"/>
    <w:rsid w:val="00D12F65"/>
    <w:rsid w:val="00D25D59"/>
    <w:rsid w:val="00D42716"/>
    <w:rsid w:val="00D42D1B"/>
    <w:rsid w:val="00D62AB2"/>
    <w:rsid w:val="00D63B10"/>
    <w:rsid w:val="00D67D67"/>
    <w:rsid w:val="00D7254A"/>
    <w:rsid w:val="00D750B0"/>
    <w:rsid w:val="00DA0884"/>
    <w:rsid w:val="00DA7B8C"/>
    <w:rsid w:val="00DB0D47"/>
    <w:rsid w:val="00DB11C0"/>
    <w:rsid w:val="00DC2FCB"/>
    <w:rsid w:val="00DC7F6C"/>
    <w:rsid w:val="00DD00B3"/>
    <w:rsid w:val="00DE21A4"/>
    <w:rsid w:val="00DE3C9D"/>
    <w:rsid w:val="00DF29CA"/>
    <w:rsid w:val="00DF2E5D"/>
    <w:rsid w:val="00DF3461"/>
    <w:rsid w:val="00DF6159"/>
    <w:rsid w:val="00E0239B"/>
    <w:rsid w:val="00E03620"/>
    <w:rsid w:val="00E21D94"/>
    <w:rsid w:val="00E23778"/>
    <w:rsid w:val="00E26C78"/>
    <w:rsid w:val="00E36B7E"/>
    <w:rsid w:val="00E45912"/>
    <w:rsid w:val="00E509BC"/>
    <w:rsid w:val="00E60175"/>
    <w:rsid w:val="00E65313"/>
    <w:rsid w:val="00E92729"/>
    <w:rsid w:val="00E95A4A"/>
    <w:rsid w:val="00EA08AA"/>
    <w:rsid w:val="00EA6018"/>
    <w:rsid w:val="00EB0763"/>
    <w:rsid w:val="00EB1ADB"/>
    <w:rsid w:val="00EB201E"/>
    <w:rsid w:val="00EB25A6"/>
    <w:rsid w:val="00EB6B68"/>
    <w:rsid w:val="00EF588F"/>
    <w:rsid w:val="00F00C84"/>
    <w:rsid w:val="00F228E1"/>
    <w:rsid w:val="00F30D59"/>
    <w:rsid w:val="00F31753"/>
    <w:rsid w:val="00F334C2"/>
    <w:rsid w:val="00F6408F"/>
    <w:rsid w:val="00F734C3"/>
    <w:rsid w:val="00F84AB3"/>
    <w:rsid w:val="00FA305E"/>
    <w:rsid w:val="00FB0E56"/>
    <w:rsid w:val="00FC1B80"/>
    <w:rsid w:val="00FC5028"/>
    <w:rsid w:val="00FE321E"/>
    <w:rsid w:val="00FE3260"/>
    <w:rsid w:val="00FF2CA2"/>
    <w:rsid w:val="055B3806"/>
    <w:rsid w:val="08BC0580"/>
    <w:rsid w:val="09A67406"/>
    <w:rsid w:val="0A6A44EC"/>
    <w:rsid w:val="108D683E"/>
    <w:rsid w:val="1C0238F3"/>
    <w:rsid w:val="219948C2"/>
    <w:rsid w:val="25140E84"/>
    <w:rsid w:val="28347CBC"/>
    <w:rsid w:val="285B71E8"/>
    <w:rsid w:val="2B7B7EAF"/>
    <w:rsid w:val="2F4E3E5B"/>
    <w:rsid w:val="32D16C5C"/>
    <w:rsid w:val="3A4B6C9E"/>
    <w:rsid w:val="4521341D"/>
    <w:rsid w:val="4E574397"/>
    <w:rsid w:val="4E824F2D"/>
    <w:rsid w:val="4E9E163B"/>
    <w:rsid w:val="4FBB7FCB"/>
    <w:rsid w:val="592C746D"/>
    <w:rsid w:val="5A2970E4"/>
    <w:rsid w:val="5B0A3DA7"/>
    <w:rsid w:val="5C9B2204"/>
    <w:rsid w:val="5DBD54E9"/>
    <w:rsid w:val="61EA24A7"/>
    <w:rsid w:val="6EAD5C34"/>
    <w:rsid w:val="7B7B7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iPriority="0" w:semiHidden="0"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toc 7"/>
    <w:basedOn w:val="1"/>
    <w:next w:val="1"/>
    <w:unhideWhenUsed/>
    <w:qFormat/>
    <w:uiPriority w:val="0"/>
    <w:pPr>
      <w:tabs>
        <w:tab w:val="right" w:leader="dot" w:pos="9344"/>
      </w:tabs>
      <w:adjustRightInd w:val="0"/>
      <w:spacing w:line="300" w:lineRule="exact"/>
      <w:ind w:left="1259"/>
    </w:pPr>
    <w:rPr>
      <w:rFonts w:ascii="宋体" w:hAnsi="Calibri" w:eastAsia="宋体" w:cs="Times New Roman"/>
      <w:szCs w:val="21"/>
    </w:rPr>
  </w:style>
  <w:style w:type="paragraph" w:styleId="3">
    <w:name w:val="annotation text"/>
    <w:basedOn w:val="1"/>
    <w:link w:val="19"/>
    <w:qFormat/>
    <w:uiPriority w:val="0"/>
    <w:pPr>
      <w:jc w:val="left"/>
    </w:pPr>
    <w:rPr>
      <w:rFonts w:ascii="Calibri" w:hAnsi="Calibri" w:eastAsia="宋体" w:cs="Times New Roman"/>
      <w:kern w:val="0"/>
      <w:szCs w:val="24"/>
    </w:rPr>
  </w:style>
  <w:style w:type="paragraph" w:styleId="4">
    <w:name w:val="Body Text"/>
    <w:basedOn w:val="1"/>
    <w:autoRedefine/>
    <w:semiHidden/>
    <w:qFormat/>
    <w:uiPriority w:val="0"/>
    <w:rPr>
      <w:rFonts w:ascii="黑体" w:hAnsi="黑体" w:eastAsia="黑体" w:cs="黑体"/>
      <w:sz w:val="28"/>
      <w:szCs w:val="28"/>
      <w:lang w:val="en-US" w:eastAsia="en-US" w:bidi="ar-SA"/>
    </w:rPr>
  </w:style>
  <w:style w:type="paragraph" w:styleId="5">
    <w:name w:val="footer"/>
    <w:basedOn w:val="1"/>
    <w:link w:val="15"/>
    <w:autoRedefine/>
    <w:unhideWhenUsed/>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6">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List Paragraph"/>
    <w:basedOn w:val="1"/>
    <w:autoRedefine/>
    <w:qFormat/>
    <w:uiPriority w:val="34"/>
    <w:pPr>
      <w:ind w:firstLine="420" w:firstLineChars="200"/>
    </w:pPr>
  </w:style>
  <w:style w:type="paragraph" w:customStyle="1" w:styleId="12">
    <w:name w:val="标准文件_段"/>
    <w:link w:val="13"/>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3">
    <w:name w:val="标准文件_段 Char"/>
    <w:link w:val="12"/>
    <w:autoRedefine/>
    <w:qFormat/>
    <w:uiPriority w:val="0"/>
    <w:rPr>
      <w:rFonts w:ascii="宋体" w:hAnsi="Times New Roman" w:eastAsia="宋体" w:cs="Times New Roman"/>
      <w:kern w:val="0"/>
      <w:szCs w:val="20"/>
    </w:rPr>
  </w:style>
  <w:style w:type="character" w:customStyle="1" w:styleId="14">
    <w:name w:val="页脚 字符"/>
    <w:basedOn w:val="10"/>
    <w:autoRedefine/>
    <w:semiHidden/>
    <w:qFormat/>
    <w:uiPriority w:val="99"/>
    <w:rPr>
      <w:sz w:val="18"/>
      <w:szCs w:val="18"/>
    </w:rPr>
  </w:style>
  <w:style w:type="character" w:customStyle="1" w:styleId="15">
    <w:name w:val="页脚 Char"/>
    <w:link w:val="5"/>
    <w:autoRedefine/>
    <w:qFormat/>
    <w:uiPriority w:val="99"/>
    <w:rPr>
      <w:rFonts w:ascii="Times New Roman" w:hAnsi="Times New Roman" w:eastAsia="宋体" w:cs="Times New Roman"/>
      <w:sz w:val="18"/>
      <w:szCs w:val="18"/>
    </w:rPr>
  </w:style>
  <w:style w:type="character" w:customStyle="1" w:styleId="16">
    <w:name w:val="页眉 Char"/>
    <w:basedOn w:val="10"/>
    <w:link w:val="6"/>
    <w:qFormat/>
    <w:uiPriority w:val="99"/>
    <w:rPr>
      <w:sz w:val="18"/>
      <w:szCs w:val="18"/>
    </w:rPr>
  </w:style>
  <w:style w:type="paragraph" w:customStyle="1" w:styleId="17">
    <w:name w:val="段"/>
    <w:link w:val="18"/>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 w:type="character" w:customStyle="1" w:styleId="18">
    <w:name w:val="段 Char"/>
    <w:link w:val="17"/>
    <w:autoRedefine/>
    <w:qFormat/>
    <w:uiPriority w:val="0"/>
    <w:rPr>
      <w:rFonts w:ascii="宋体" w:hAnsi="Calibri" w:eastAsia="宋体" w:cs="Times New Roman"/>
      <w:kern w:val="0"/>
      <w:sz w:val="20"/>
      <w:szCs w:val="20"/>
    </w:rPr>
  </w:style>
  <w:style w:type="character" w:customStyle="1" w:styleId="19">
    <w:name w:val="批注文字 Char"/>
    <w:basedOn w:val="10"/>
    <w:link w:val="3"/>
    <w:qFormat/>
    <w:uiPriority w:val="0"/>
    <w:rPr>
      <w:rFonts w:ascii="Calibri" w:hAnsi="Calibri" w:eastAsia="宋体" w:cs="Times New Roman"/>
      <w:kern w:val="0"/>
      <w:szCs w:val="24"/>
    </w:rPr>
  </w:style>
  <w:style w:type="paragraph" w:customStyle="1" w:styleId="20">
    <w:name w:val="标准文件_一级项"/>
    <w:qFormat/>
    <w:uiPriority w:val="0"/>
    <w:pPr>
      <w:numPr>
        <w:ilvl w:val="0"/>
        <w:numId w:val="1"/>
      </w:numPr>
      <w:tabs>
        <w:tab w:val="left" w:pos="851"/>
        <w:tab w:val="left" w:pos="1702"/>
        <w:tab w:val="left" w:pos="1844"/>
        <w:tab w:val="left" w:pos="1986"/>
        <w:tab w:val="left" w:pos="3262"/>
        <w:tab w:val="left" w:pos="7514"/>
      </w:tabs>
    </w:pPr>
    <w:rPr>
      <w:rFonts w:ascii="宋体" w:hAnsi="Times New Roman" w:eastAsia="宋体" w:cs="Times New Roman"/>
      <w:sz w:val="21"/>
      <w:lang w:val="en-US" w:eastAsia="zh-CN" w:bidi="ar-SA"/>
    </w:rPr>
  </w:style>
  <w:style w:type="paragraph" w:customStyle="1" w:styleId="21">
    <w:name w:val="标准文件_三级项"/>
    <w:basedOn w:val="1"/>
    <w:autoRedefine/>
    <w:qFormat/>
    <w:uiPriority w:val="0"/>
    <w:pPr>
      <w:adjustRightInd w:val="0"/>
      <w:spacing w:line="536870612" w:lineRule="auto"/>
      <w:ind w:left="851" w:hanging="426"/>
    </w:pPr>
    <w:rPr>
      <w:rFonts w:ascii="Times New Roman" w:hAnsi="Times New Roman" w:eastAsia="宋体" w:cs="Times New Roman"/>
      <w:szCs w:val="21"/>
    </w:rPr>
  </w:style>
  <w:style w:type="paragraph" w:customStyle="1" w:styleId="22">
    <w:name w:val="标准文件_二级项2"/>
    <w:basedOn w:val="1"/>
    <w:qFormat/>
    <w:uiPriority w:val="0"/>
    <w:pPr>
      <w:widowControl/>
      <w:autoSpaceDE w:val="0"/>
      <w:autoSpaceDN w:val="0"/>
      <w:ind w:left="851"/>
    </w:pPr>
    <w:rPr>
      <w:rFonts w:ascii="宋体" w:hAnsi="Times New Roman" w:eastAsia="宋体" w:cs="Times New Roman"/>
      <w:kern w:val="0"/>
      <w:szCs w:val="20"/>
    </w:rPr>
  </w:style>
  <w:style w:type="paragraph" w:customStyle="1" w:styleId="23">
    <w:name w:val="第一级标题"/>
    <w:basedOn w:val="11"/>
    <w:qFormat/>
    <w:uiPriority w:val="0"/>
    <w:pPr>
      <w:numPr>
        <w:ilvl w:val="0"/>
        <w:numId w:val="2"/>
      </w:numPr>
      <w:spacing w:beforeLines="30" w:afterLines="30" w:line="360" w:lineRule="auto"/>
      <w:ind w:left="0" w:firstLine="200"/>
    </w:pPr>
    <w:rPr>
      <w:rFonts w:ascii="黑体" w:hAnsi="黑体" w:eastAsia="黑体"/>
      <w:sz w:val="30"/>
    </w:rPr>
  </w:style>
  <w:style w:type="paragraph" w:customStyle="1" w:styleId="24">
    <w:name w:val="第二级标题"/>
    <w:basedOn w:val="11"/>
    <w:autoRedefine/>
    <w:qFormat/>
    <w:uiPriority w:val="0"/>
    <w:pPr>
      <w:ind w:firstLine="200"/>
      <w:jc w:val="left"/>
    </w:pPr>
    <w:rPr>
      <w:rFonts w:eastAsia="楷体_GB2312"/>
      <w:sz w:val="30"/>
    </w:rPr>
  </w:style>
  <w:style w:type="paragraph" w:customStyle="1" w:styleId="25">
    <w:name w:val="第五级正文"/>
    <w:basedOn w:val="12"/>
    <w:qFormat/>
    <w:uiPriority w:val="0"/>
    <w:pPr>
      <w:spacing w:line="360" w:lineRule="auto"/>
    </w:pPr>
    <w:rPr>
      <w:rFonts w:eastAsia="仿宋_GB2312"/>
      <w:sz w:val="28"/>
    </w:rPr>
  </w:style>
  <w:style w:type="paragraph" w:customStyle="1" w:styleId="26">
    <w:name w:val="标准文件_一级无标题"/>
    <w:basedOn w:val="27"/>
    <w:qFormat/>
    <w:uiPriority w:val="0"/>
    <w:pPr>
      <w:spacing w:before="0" w:beforeLines="0" w:after="0" w:afterLines="0"/>
      <w:outlineLvl w:val="9"/>
    </w:pPr>
    <w:rPr>
      <w:rFonts w:ascii="宋体" w:eastAsia="宋体"/>
    </w:rPr>
  </w:style>
  <w:style w:type="paragraph" w:customStyle="1" w:styleId="27">
    <w:name w:val="标准文件_一级条标题"/>
    <w:basedOn w:val="28"/>
    <w:next w:val="12"/>
    <w:qFormat/>
    <w:uiPriority w:val="0"/>
    <w:pPr>
      <w:numPr>
        <w:ilvl w:val="2"/>
      </w:numPr>
      <w:spacing w:before="50" w:beforeLines="50" w:after="50" w:afterLines="50"/>
      <w:ind w:left="0"/>
      <w:outlineLvl w:val="1"/>
    </w:pPr>
  </w:style>
  <w:style w:type="paragraph" w:customStyle="1" w:styleId="28">
    <w:name w:val="标准文件_章标题"/>
    <w:next w:val="12"/>
    <w:autoRedefine/>
    <w:qFormat/>
    <w:uiPriority w:val="0"/>
    <w:pPr>
      <w:numPr>
        <w:ilvl w:val="1"/>
        <w:numId w:val="3"/>
      </w:numPr>
      <w:spacing w:before="240" w:beforeLines="100" w:after="240" w:afterLines="100"/>
      <w:ind w:left="142"/>
      <w:jc w:val="both"/>
      <w:outlineLvl w:val="0"/>
    </w:pPr>
    <w:rPr>
      <w:rFonts w:ascii="黑体" w:hAnsi="Times New Roman" w:eastAsia="黑体" w:cs="Times New Roman"/>
      <w:color w:val="000000" w:themeColor="text1"/>
      <w:sz w:val="21"/>
      <w:lang w:val="en-US" w:eastAsia="zh-CN" w:bidi="ar-SA"/>
      <w14:textFill>
        <w14:solidFill>
          <w14:schemeClr w14:val="tx1"/>
        </w14:solidFill>
      </w14:textFill>
    </w:rPr>
  </w:style>
  <w:style w:type="paragraph" w:customStyle="1" w:styleId="29">
    <w:name w:val="标准文件_二级条标题"/>
    <w:next w:val="12"/>
    <w:autoRedefine/>
    <w:qFormat/>
    <w:uiPriority w:val="0"/>
    <w:pPr>
      <w:widowControl w:val="0"/>
      <w:numPr>
        <w:ilvl w:val="3"/>
        <w:numId w:val="3"/>
      </w:numPr>
      <w:spacing w:before="50" w:beforeLines="50" w:after="50" w:afterLines="50"/>
      <w:ind w:left="0"/>
      <w:jc w:val="both"/>
      <w:outlineLvl w:val="2"/>
    </w:pPr>
    <w:rPr>
      <w:rFonts w:ascii="黑体" w:hAnsi="Times New Roman" w:eastAsia="黑体" w:cs="Times New Roman"/>
      <w:sz w:val="21"/>
      <w:lang w:val="en-US" w:eastAsia="zh-CN" w:bidi="ar-SA"/>
    </w:rPr>
  </w:style>
  <w:style w:type="paragraph" w:customStyle="1" w:styleId="30">
    <w:name w:val="标准文件_三级条标题"/>
    <w:basedOn w:val="29"/>
    <w:next w:val="12"/>
    <w:qFormat/>
    <w:uiPriority w:val="0"/>
    <w:pPr>
      <w:widowControl/>
      <w:numPr>
        <w:ilvl w:val="4"/>
      </w:numPr>
      <w:ind w:left="0"/>
      <w:outlineLvl w:val="3"/>
    </w:pPr>
  </w:style>
  <w:style w:type="paragraph" w:customStyle="1" w:styleId="31">
    <w:name w:val="标准文件_三级无标题"/>
    <w:basedOn w:val="30"/>
    <w:qFormat/>
    <w:uiPriority w:val="0"/>
    <w:pPr>
      <w:spacing w:before="0" w:beforeLines="0" w:after="0" w:afterLines="0"/>
      <w:outlineLvl w:val="9"/>
    </w:pPr>
    <w:rPr>
      <w:rFonts w:ascii="宋体" w:eastAsia="宋体"/>
    </w:rPr>
  </w:style>
  <w:style w:type="paragraph" w:customStyle="1" w:styleId="32">
    <w:name w:val="标准文件_二级无标题"/>
    <w:basedOn w:val="29"/>
    <w:qFormat/>
    <w:uiPriority w:val="0"/>
    <w:pPr>
      <w:spacing w:before="0" w:beforeLines="0" w:after="0" w:afterLines="0"/>
      <w:outlineLvl w:val="9"/>
    </w:pPr>
    <w:rPr>
      <w:rFonts w:ascii="宋体" w:eastAsia="宋体"/>
    </w:rPr>
  </w:style>
  <w:style w:type="paragraph" w:customStyle="1" w:styleId="33">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34">
    <w:name w:val="标准文件_术语条一"/>
    <w:basedOn w:val="26"/>
    <w:next w:val="12"/>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1032</Words>
  <Characters>5885</Characters>
  <Lines>49</Lines>
  <Paragraphs>13</Paragraphs>
  <TotalTime>49</TotalTime>
  <ScaleCrop>false</ScaleCrop>
  <LinksUpToDate>false</LinksUpToDate>
  <CharactersWithSpaces>6904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2023-10-09T03:07:00Z</dcterms:created>
  <dc:creator>zz zz</dc:creator>
  <cp:lastModifiedBy>大鹏</cp:lastModifiedBy>
  <cp:lastPrinted>2022-11-29T05:03:00Z</cp:lastPrinted>
  <dcterms:modified xsi:type="dcterms:W3CDTF">2024-01-17T01:27:55Z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5E2F9220AEE84561B3EABDF99A8FDB7B_13</vt:lpwstr>
  </property>
</Properties>
</file>