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251E8" w14:paraId="20B3124E" w14:textId="77777777">
        <w:tc>
          <w:tcPr>
            <w:tcW w:w="509" w:type="dxa"/>
          </w:tcPr>
          <w:p w14:paraId="523E0D4C" w14:textId="77777777" w:rsidR="001251E8"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190F27A" w14:textId="77777777" w:rsidR="001251E8"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w:t>
            </w:r>
            <w:r>
              <w:rPr>
                <w:rFonts w:ascii="黑体" w:eastAsia="黑体" w:hAnsi="黑体"/>
                <w:sz w:val="21"/>
                <w:szCs w:val="21"/>
              </w:rPr>
              <w:fldChar w:fldCharType="end"/>
            </w:r>
            <w:bookmarkEnd w:id="0"/>
          </w:p>
        </w:tc>
      </w:tr>
      <w:tr w:rsidR="001251E8" w14:paraId="7DABC149" w14:textId="77777777">
        <w:tc>
          <w:tcPr>
            <w:tcW w:w="509" w:type="dxa"/>
          </w:tcPr>
          <w:p w14:paraId="10D207F7" w14:textId="77777777" w:rsidR="001251E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1251E8" w14:paraId="5B693107" w14:textId="77777777">
              <w:trPr>
                <w:trHeight w:hRule="exact" w:val="1021"/>
              </w:trPr>
              <w:tc>
                <w:tcPr>
                  <w:tcW w:w="9242" w:type="dxa"/>
                  <w:vAlign w:val="center"/>
                </w:tcPr>
                <w:p w14:paraId="64884919" w14:textId="77777777" w:rsidR="001251E8" w:rsidRDefault="00000000" w:rsidP="00C87481">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A37E765" wp14:editId="3DB4D19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CD8E3F8" wp14:editId="07AE8CB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6D8AB76D" w14:textId="77777777" w:rsidR="001251E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412314EA" w14:textId="77777777" w:rsidR="001251E8"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9E63789" w14:textId="77777777" w:rsidR="001251E8"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FED7D81" w14:textId="77777777" w:rsidR="001251E8"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4F485B9" w14:textId="77777777" w:rsidR="001251E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E5835D8" wp14:editId="29168D9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3BAC51A" w14:textId="77777777" w:rsidR="001251E8" w:rsidRDefault="001251E8">
      <w:pPr>
        <w:pStyle w:val="afffff0"/>
        <w:framePr w:w="9639" w:h="6976" w:hRule="exact" w:hSpace="0" w:vSpace="0" w:wrap="around" w:hAnchor="page" w:y="6408"/>
        <w:jc w:val="center"/>
        <w:rPr>
          <w:rFonts w:ascii="黑体" w:eastAsia="黑体" w:hAnsi="黑体" w:hint="eastAsia"/>
          <w:b w:val="0"/>
          <w:bCs w:val="0"/>
          <w:w w:val="100"/>
        </w:rPr>
      </w:pPr>
    </w:p>
    <w:p w14:paraId="77D1BC25" w14:textId="0A9E1238" w:rsidR="00C87481"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5"/>
      <w:r w:rsidR="00C87481">
        <w:t>示范运行分布式燃料电池电站</w:t>
      </w:r>
    </w:p>
    <w:p w14:paraId="0749A175" w14:textId="442BDE76" w:rsidR="001251E8" w:rsidRDefault="00C87481">
      <w:pPr>
        <w:pStyle w:val="affffffffff4"/>
        <w:framePr w:h="6974" w:hRule="exact" w:wrap="around" w:x="1419" w:anchorLock="1"/>
        <w:rPr>
          <w:rFonts w:hint="eastAsia"/>
        </w:rPr>
      </w:pPr>
      <w:r>
        <w:t xml:space="preserve">    技术规范</w:t>
      </w:r>
      <w:bookmarkEnd w:id="10"/>
      <w:r>
        <w:t>  </w:t>
      </w:r>
      <w:r w:rsidR="00000000">
        <w:fldChar w:fldCharType="end"/>
      </w:r>
      <w:bookmarkEnd w:id="9"/>
    </w:p>
    <w:p w14:paraId="2EC3AC18" w14:textId="77777777" w:rsidR="001251E8" w:rsidRDefault="001251E8">
      <w:pPr>
        <w:framePr w:w="9639" w:h="6974" w:hRule="exact" w:wrap="around" w:vAnchor="page" w:hAnchor="page" w:x="1419" w:y="6408" w:anchorLock="1"/>
        <w:ind w:left="-1418"/>
      </w:pPr>
    </w:p>
    <w:p w14:paraId="23ADDD1A" w14:textId="77777777" w:rsidR="001251E8"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specifications for demonstration operation of distributed fuel cell power         station</w:t>
      </w:r>
      <w:r>
        <w:rPr>
          <w:rFonts w:eastAsia="黑体"/>
          <w:szCs w:val="28"/>
        </w:rPr>
        <w:fldChar w:fldCharType="end"/>
      </w:r>
      <w:bookmarkEnd w:id="11"/>
    </w:p>
    <w:p w14:paraId="6007F3C1" w14:textId="77777777" w:rsidR="001251E8" w:rsidRDefault="001251E8">
      <w:pPr>
        <w:framePr w:w="9639" w:h="6974" w:hRule="exact" w:wrap="around" w:vAnchor="page" w:hAnchor="page" w:x="1419" w:y="6408" w:anchorLock="1"/>
        <w:spacing w:line="760" w:lineRule="exact"/>
        <w:ind w:left="-1418"/>
      </w:pPr>
    </w:p>
    <w:p w14:paraId="2C1F0DA1" w14:textId="77777777" w:rsidR="001251E8" w:rsidRDefault="001251E8">
      <w:pPr>
        <w:pStyle w:val="afffffff8"/>
        <w:framePr w:w="9639" w:h="6974" w:hRule="exact" w:wrap="around" w:vAnchor="page" w:hAnchor="page" w:x="1419" w:y="6408" w:anchorLock="1"/>
        <w:textAlignment w:val="bottom"/>
        <w:rPr>
          <w:rFonts w:eastAsia="黑体"/>
          <w:szCs w:val="28"/>
        </w:rPr>
      </w:pPr>
    </w:p>
    <w:p w14:paraId="3E5A9D26" w14:textId="77777777" w:rsidR="001251E8"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354B9578" w14:textId="77777777" w:rsidR="001251E8"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2024.12.15</w:t>
      </w:r>
      <w:r>
        <w:rPr>
          <w:rFonts w:hint="eastAsia"/>
          <w:sz w:val="21"/>
          <w:szCs w:val="28"/>
        </w:rPr>
        <w:t>）</w:t>
      </w:r>
      <w:r>
        <w:rPr>
          <w:sz w:val="21"/>
          <w:szCs w:val="28"/>
        </w:rPr>
        <w:fldChar w:fldCharType="end"/>
      </w:r>
      <w:bookmarkEnd w:id="13"/>
    </w:p>
    <w:p w14:paraId="2FB1EE31" w14:textId="77777777" w:rsidR="001251E8"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580BA039" w14:textId="77777777" w:rsidR="001251E8"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10E7D0D" w14:textId="77777777" w:rsidR="001251E8"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33E04D77" w14:textId="77777777" w:rsidR="001251E8"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大连市氢能产业发展促进协会</w:t>
      </w:r>
      <w:r>
        <w:rPr>
          <w:rFonts w:hAnsi="黑体"/>
          <w:w w:val="100"/>
          <w:sz w:val="28"/>
        </w:rPr>
        <w:fldChar w:fldCharType="end"/>
      </w:r>
      <w:bookmarkEnd w:id="21"/>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F089DBB" w14:textId="77777777" w:rsidR="001251E8" w:rsidRDefault="00000000">
      <w:pPr>
        <w:rPr>
          <w:rFonts w:ascii="宋体" w:hAnsi="宋体" w:hint="eastAsia"/>
          <w:sz w:val="28"/>
          <w:szCs w:val="28"/>
        </w:rPr>
        <w:sectPr w:rsidR="001251E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1439A52" wp14:editId="7984374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97DE0F" w14:textId="77777777" w:rsidR="001251E8" w:rsidRDefault="00000000">
      <w:pPr>
        <w:pStyle w:val="a6"/>
        <w:spacing w:before="900" w:after="360"/>
      </w:pPr>
      <w:bookmarkStart w:id="22" w:name="BookMark2"/>
      <w:r>
        <w:rPr>
          <w:rFonts w:hint="eastAsia"/>
          <w:spacing w:val="320"/>
        </w:rPr>
        <w:lastRenderedPageBreak/>
        <w:t>前</w:t>
      </w:r>
      <w:r>
        <w:rPr>
          <w:rFonts w:hint="eastAsia"/>
        </w:rPr>
        <w:t>言</w:t>
      </w:r>
    </w:p>
    <w:p w14:paraId="052EB819" w14:textId="77777777" w:rsidR="001251E8" w:rsidRDefault="00000000">
      <w:pPr>
        <w:pStyle w:val="afffff5"/>
        <w:ind w:firstLine="420"/>
      </w:pPr>
      <w:r>
        <w:rPr>
          <w:rFonts w:hint="eastAsia"/>
        </w:rPr>
        <w:t>本文件按照GB/T 1.1—2020《标准化工作导则  第1部分：标准化文件的结构和起草规则》的规定起草。</w:t>
      </w:r>
    </w:p>
    <w:p w14:paraId="6C5957F8" w14:textId="77777777" w:rsidR="001251E8" w:rsidRDefault="00000000">
      <w:pPr>
        <w:pStyle w:val="afffff5"/>
        <w:ind w:firstLine="420"/>
      </w:pPr>
      <w:r>
        <w:rPr>
          <w:rFonts w:hint="eastAsia"/>
        </w:rPr>
        <w:t>本文件由</w:t>
      </w:r>
      <w:r>
        <w:rPr>
          <w:rFonts w:hAnsi="宋体" w:cs="宋体" w:hint="eastAsia"/>
        </w:rPr>
        <w:t>国创氢能科技有限公司</w:t>
      </w:r>
      <w:r>
        <w:rPr>
          <w:rFonts w:hint="eastAsia"/>
        </w:rPr>
        <w:t>提出。</w:t>
      </w:r>
    </w:p>
    <w:p w14:paraId="3A90AA79" w14:textId="77777777" w:rsidR="001251E8" w:rsidRDefault="00000000">
      <w:pPr>
        <w:pStyle w:val="afffff5"/>
        <w:ind w:firstLine="420"/>
      </w:pPr>
      <w:r>
        <w:rPr>
          <w:rFonts w:hint="eastAsia"/>
        </w:rPr>
        <w:t>本文件由</w:t>
      </w:r>
      <w:r>
        <w:rPr>
          <w:rFonts w:hAnsi="宋体" w:cs="宋体" w:hint="eastAsia"/>
        </w:rPr>
        <w:t>大连市氢能产业发展促进协会</w:t>
      </w:r>
      <w:r>
        <w:rPr>
          <w:rFonts w:hint="eastAsia"/>
        </w:rPr>
        <w:t>归口。</w:t>
      </w:r>
    </w:p>
    <w:p w14:paraId="5AE8B4A7" w14:textId="77777777" w:rsidR="001251E8" w:rsidRDefault="00000000">
      <w:pPr>
        <w:pStyle w:val="afffff5"/>
        <w:ind w:firstLine="420"/>
      </w:pPr>
      <w:r>
        <w:rPr>
          <w:rFonts w:hint="eastAsia"/>
        </w:rPr>
        <w:t>本文件起草单位：</w:t>
      </w:r>
      <w:r>
        <w:rPr>
          <w:rFonts w:hAnsi="宋体" w:cs="宋体" w:hint="eastAsia"/>
        </w:rPr>
        <w:t>国创氢能科技有限公司、中国科学院大连化学物理研究所、大连擎研科技有限公</w:t>
      </w:r>
      <w:r>
        <w:rPr>
          <w:rFonts w:hint="eastAsia"/>
        </w:rPr>
        <w:t>司。</w:t>
      </w:r>
    </w:p>
    <w:p w14:paraId="2C675C8F" w14:textId="761F36A5" w:rsidR="001251E8" w:rsidRDefault="00000000">
      <w:pPr>
        <w:pStyle w:val="afffff5"/>
        <w:ind w:firstLine="420"/>
      </w:pPr>
      <w:r>
        <w:rPr>
          <w:rFonts w:hint="eastAsia"/>
        </w:rPr>
        <w:t>本文件主要起草人：韩福江、</w:t>
      </w:r>
      <w:r w:rsidR="00C87481">
        <w:rPr>
          <w:rFonts w:hint="eastAsia"/>
        </w:rPr>
        <w:t>耿忠华、徐鸿飞、段丽萍、黄怡晔</w:t>
      </w:r>
      <w:r w:rsidR="00C87481">
        <w:rPr>
          <w:rFonts w:hint="eastAsia"/>
        </w:rPr>
        <w:t>、</w:t>
      </w:r>
      <w:r>
        <w:rPr>
          <w:rFonts w:hint="eastAsia"/>
        </w:rPr>
        <w:t>侯明、秦晓平、姚荣华、赵磊。</w:t>
      </w:r>
    </w:p>
    <w:p w14:paraId="1456B763" w14:textId="77777777" w:rsidR="001251E8" w:rsidRDefault="00000000">
      <w:pPr>
        <w:pStyle w:val="afffff5"/>
        <w:ind w:firstLine="420"/>
      </w:pPr>
      <w:r>
        <w:rPr>
          <w:rFonts w:hint="eastAsia"/>
        </w:rPr>
        <w:t>本文件为首次发布。</w:t>
      </w:r>
    </w:p>
    <w:p w14:paraId="5DC617D8" w14:textId="77777777" w:rsidR="001251E8" w:rsidRDefault="001251E8">
      <w:pPr>
        <w:pStyle w:val="afffff5"/>
        <w:ind w:firstLine="420"/>
      </w:pPr>
    </w:p>
    <w:p w14:paraId="138DB33B" w14:textId="77777777" w:rsidR="001251E8" w:rsidRDefault="001251E8">
      <w:pPr>
        <w:pStyle w:val="afffff5"/>
        <w:ind w:firstLine="420"/>
        <w:sectPr w:rsidR="001251E8">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3E219847" w14:textId="77777777" w:rsidR="001251E8" w:rsidRDefault="001251E8">
      <w:pPr>
        <w:widowControl/>
        <w:adjustRightInd/>
        <w:spacing w:line="240" w:lineRule="auto"/>
        <w:jc w:val="left"/>
        <w:rPr>
          <w:rFonts w:ascii="黑体" w:eastAsia="黑体" w:hAnsi="黑体" w:hint="eastAsia"/>
          <w:sz w:val="32"/>
          <w:szCs w:val="32"/>
        </w:rPr>
      </w:pPr>
      <w:bookmarkStart w:id="23" w:name="BookMark4"/>
      <w:bookmarkEnd w:id="22"/>
    </w:p>
    <w:p w14:paraId="29DBBE53" w14:textId="77777777" w:rsidR="001251E8" w:rsidRDefault="001251E8">
      <w:pPr>
        <w:spacing w:line="20" w:lineRule="exact"/>
        <w:jc w:val="center"/>
        <w:rPr>
          <w:rFonts w:ascii="黑体" w:eastAsia="黑体" w:hAnsi="黑体" w:hint="eastAsia"/>
          <w:sz w:val="32"/>
          <w:szCs w:val="32"/>
        </w:rPr>
      </w:pPr>
    </w:p>
    <w:p w14:paraId="6E214A85" w14:textId="77777777" w:rsidR="001251E8" w:rsidRDefault="001251E8">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F0BE3CF010584EDDB61433260ECAB924"/>
        </w:placeholder>
      </w:sdtPr>
      <w:sdtContent>
        <w:p w14:paraId="6B3871BB" w14:textId="77777777" w:rsidR="00C87481" w:rsidRDefault="00C87481" w:rsidP="00C87481">
          <w:pPr>
            <w:pStyle w:val="afffffffff8"/>
            <w:spacing w:beforeLines="100" w:before="240" w:afterLines="1" w:after="2"/>
            <w:rPr>
              <w:rFonts w:hint="eastAsia"/>
            </w:rPr>
          </w:pPr>
          <w:r>
            <w:rPr>
              <w:rFonts w:hint="eastAsia"/>
            </w:rPr>
            <w:t>示范运行分布式燃料电池电站</w:t>
          </w:r>
        </w:p>
        <w:p w14:paraId="1878AF5D" w14:textId="6F700340" w:rsidR="001251E8" w:rsidRDefault="00C87481" w:rsidP="00C87481">
          <w:pPr>
            <w:pStyle w:val="afffffffff8"/>
            <w:spacing w:beforeLines="1" w:before="2" w:after="680"/>
            <w:rPr>
              <w:rFonts w:hint="eastAsia"/>
            </w:rPr>
          </w:pPr>
          <w:r>
            <w:t xml:space="preserve">    技术规范  </w:t>
          </w:r>
        </w:p>
      </w:sdtContent>
    </w:sdt>
    <w:p w14:paraId="68EC3CA1" w14:textId="77777777" w:rsidR="001251E8" w:rsidRDefault="00000000">
      <w:pPr>
        <w:pStyle w:val="affc"/>
        <w:spacing w:before="240" w:after="240"/>
      </w:pPr>
      <w:bookmarkStart w:id="25" w:name="_Toc26718930"/>
      <w:bookmarkStart w:id="26" w:name="_Toc17233333"/>
      <w:bookmarkStart w:id="27" w:name="_Toc26986530"/>
      <w:bookmarkStart w:id="28" w:name="_Toc26648465"/>
      <w:bookmarkStart w:id="29" w:name="_Toc17233325"/>
      <w:bookmarkStart w:id="30" w:name="_Toc24884211"/>
      <w:bookmarkStart w:id="31" w:name="_Toc26986771"/>
      <w:bookmarkStart w:id="32" w:name="_Toc97192964"/>
      <w:bookmarkStart w:id="33" w:name="_Toc24884218"/>
      <w:bookmarkEnd w:id="24"/>
      <w:r>
        <w:rPr>
          <w:rFonts w:hint="eastAsia"/>
        </w:rPr>
        <w:t>范围</w:t>
      </w:r>
      <w:bookmarkEnd w:id="25"/>
      <w:bookmarkEnd w:id="26"/>
      <w:bookmarkEnd w:id="27"/>
      <w:bookmarkEnd w:id="28"/>
      <w:bookmarkEnd w:id="29"/>
      <w:bookmarkEnd w:id="30"/>
      <w:bookmarkEnd w:id="31"/>
      <w:bookmarkEnd w:id="32"/>
      <w:bookmarkEnd w:id="33"/>
    </w:p>
    <w:p w14:paraId="49DECF05" w14:textId="77777777" w:rsidR="001251E8" w:rsidRDefault="00000000">
      <w:pPr>
        <w:pStyle w:val="afffff5"/>
        <w:ind w:firstLine="420"/>
      </w:pPr>
      <w:bookmarkStart w:id="34" w:name="_Toc26648466"/>
      <w:bookmarkStart w:id="35" w:name="_Toc17233334"/>
      <w:bookmarkStart w:id="36" w:name="_Toc24884212"/>
      <w:bookmarkStart w:id="37" w:name="_Toc17233326"/>
      <w:bookmarkStart w:id="38" w:name="_Toc24884219"/>
      <w:bookmarkStart w:id="39" w:name="OLE_LINK1"/>
      <w:r>
        <w:rPr>
          <w:rFonts w:hint="eastAsia"/>
        </w:rPr>
        <w:t>本文件规定了进行示范运行的分布式燃料电池电站（以下简称电站）的范围、术语和定义、实施示范运行的基本条件。运行中危害的预防、电站的启动、存放、氢燃料的加注、意外事故的处理预案与培训等。</w:t>
      </w:r>
    </w:p>
    <w:p w14:paraId="03B8C731" w14:textId="77777777" w:rsidR="001251E8" w:rsidRDefault="00000000">
      <w:pPr>
        <w:pStyle w:val="afffff5"/>
        <w:ind w:firstLine="420"/>
      </w:pPr>
      <w:r>
        <w:rPr>
          <w:rFonts w:hint="eastAsia"/>
        </w:rPr>
        <w:t>本文件适用于分布式燃料电池电站,其额定工作功率不大于200kW，供氢系统额定工作压力不大于35Mpa。</w:t>
      </w:r>
    </w:p>
    <w:p w14:paraId="62BE4424" w14:textId="77777777" w:rsidR="001251E8" w:rsidRDefault="00000000">
      <w:pPr>
        <w:pStyle w:val="affc"/>
        <w:spacing w:before="240" w:after="240"/>
      </w:pPr>
      <w:bookmarkStart w:id="40" w:name="_Toc26718931"/>
      <w:bookmarkStart w:id="41" w:name="_Toc26986531"/>
      <w:bookmarkStart w:id="42" w:name="_Toc26986772"/>
      <w:bookmarkStart w:id="43" w:name="_Toc97192965"/>
      <w:bookmarkEnd w:id="39"/>
      <w:r>
        <w:rPr>
          <w:rFonts w:hint="eastAsia"/>
        </w:rPr>
        <w:t>规范性引用文件</w:t>
      </w:r>
      <w:bookmarkEnd w:id="34"/>
      <w:bookmarkEnd w:id="35"/>
      <w:bookmarkEnd w:id="36"/>
      <w:bookmarkEnd w:id="37"/>
      <w:bookmarkEnd w:id="38"/>
      <w:bookmarkEnd w:id="40"/>
      <w:bookmarkEnd w:id="41"/>
      <w:bookmarkEnd w:id="42"/>
      <w:bookmarkEnd w:id="43"/>
    </w:p>
    <w:sdt>
      <w:sdtPr>
        <w:rPr>
          <w:rFonts w:hint="eastAsia"/>
        </w:rPr>
        <w:id w:val="715848253"/>
        <w:placeholder>
          <w:docPart w:val="A5E9E59DB55544979E7CD8980585C1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84912C3" w14:textId="77777777" w:rsidR="001251E8"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619C14" w14:textId="77777777" w:rsidR="001251E8" w:rsidRDefault="00000000">
      <w:pPr>
        <w:pStyle w:val="afffff5"/>
        <w:ind w:firstLine="420"/>
      </w:pPr>
      <w:r>
        <w:rPr>
          <w:rFonts w:hint="eastAsia"/>
        </w:rPr>
        <w:t>GB/T 27748.1-2017  固定式燃料电池发电系统第1部分:安全</w:t>
      </w:r>
    </w:p>
    <w:p w14:paraId="49AD91EB" w14:textId="77777777" w:rsidR="001251E8" w:rsidRDefault="00000000">
      <w:pPr>
        <w:pStyle w:val="afffff5"/>
        <w:ind w:firstLine="420"/>
      </w:pPr>
      <w:r>
        <w:rPr>
          <w:rFonts w:hint="eastAsia"/>
        </w:rPr>
        <w:t>GB/T 27748.2-2022  固定式燃料电池发电系统 第2部分:性能试验方法</w:t>
      </w:r>
    </w:p>
    <w:p w14:paraId="22C3B85E" w14:textId="77777777" w:rsidR="001251E8" w:rsidRDefault="00000000">
      <w:pPr>
        <w:pStyle w:val="afffff5"/>
        <w:ind w:firstLine="420"/>
      </w:pPr>
      <w:r>
        <w:rPr>
          <w:rFonts w:hint="eastAsia"/>
        </w:rPr>
        <w:t>GB/T 27748.3-2017  固定式燃料电池发电系统第3部分:安装</w:t>
      </w:r>
    </w:p>
    <w:p w14:paraId="4984B960" w14:textId="77777777" w:rsidR="001251E8" w:rsidRDefault="00000000">
      <w:pPr>
        <w:pStyle w:val="afffff5"/>
        <w:ind w:firstLine="420"/>
      </w:pPr>
      <w:bookmarkStart w:id="44" w:name="OLE_LINK3"/>
      <w:r>
        <w:t>GB/T 34872-2017 质子交换膜燃料电池供氢系统技术要求</w:t>
      </w:r>
    </w:p>
    <w:bookmarkEnd w:id="44"/>
    <w:p w14:paraId="03C87FCE" w14:textId="77777777" w:rsidR="001251E8" w:rsidRDefault="00000000">
      <w:pPr>
        <w:pStyle w:val="afffff5"/>
        <w:ind w:firstLine="420"/>
      </w:pPr>
      <w:r>
        <w:rPr>
          <w:rFonts w:hint="eastAsia"/>
        </w:rPr>
        <w:t xml:space="preserve">IEC 62282-3-100 </w:t>
      </w:r>
      <w:r>
        <w:t>“</w:t>
      </w:r>
      <w:r>
        <w:t xml:space="preserve">Fuel cell technologies - Part 3-100: Stationary fuel cell power systems </w:t>
      </w:r>
      <w:r>
        <w:t>–</w:t>
      </w:r>
      <w:r>
        <w:t xml:space="preserve"> Safety</w:t>
      </w:r>
    </w:p>
    <w:p w14:paraId="3DDBB2D7" w14:textId="77777777" w:rsidR="001251E8" w:rsidRDefault="00000000">
      <w:pPr>
        <w:pStyle w:val="afffff5"/>
        <w:ind w:firstLine="420"/>
      </w:pPr>
      <w:r>
        <w:t>GB/T 42312-2023 电化学储能电站生产安全应急预案编制导则</w:t>
      </w:r>
    </w:p>
    <w:p w14:paraId="3068B401" w14:textId="77777777" w:rsidR="001251E8" w:rsidRDefault="00000000">
      <w:pPr>
        <w:pStyle w:val="afffff5"/>
        <w:ind w:firstLine="420"/>
      </w:pPr>
      <w:r>
        <w:rPr>
          <w:rFonts w:hint="eastAsia"/>
        </w:rPr>
        <w:t>GB/T 36544-2018 变电站用质子交换膜燃料电池供电系统</w:t>
      </w:r>
    </w:p>
    <w:p w14:paraId="3BCE524C" w14:textId="77777777" w:rsidR="001251E8" w:rsidRDefault="00000000">
      <w:pPr>
        <w:pStyle w:val="afffff5"/>
        <w:ind w:firstLine="420"/>
      </w:pPr>
      <w:r>
        <w:rPr>
          <w:rFonts w:hint="eastAsia"/>
        </w:rPr>
        <w:t>GB/T 28816 燃料电池  术语</w:t>
      </w:r>
    </w:p>
    <w:p w14:paraId="7537EF78" w14:textId="77777777" w:rsidR="001251E8" w:rsidRDefault="00000000">
      <w:pPr>
        <w:pStyle w:val="afffff5"/>
        <w:ind w:firstLine="420"/>
      </w:pPr>
      <w:r>
        <w:rPr>
          <w:rFonts w:hint="eastAsia"/>
        </w:rPr>
        <w:t>GB   51048-2014 电化学储能电站设计规范</w:t>
      </w:r>
    </w:p>
    <w:p w14:paraId="7DEAC1D4" w14:textId="77777777" w:rsidR="001251E8" w:rsidRDefault="00000000">
      <w:pPr>
        <w:pStyle w:val="affc"/>
        <w:spacing w:before="240" w:after="240"/>
      </w:pPr>
      <w:bookmarkStart w:id="45" w:name="_Toc97192966"/>
      <w:r>
        <w:rPr>
          <w:rFonts w:hint="eastAsia"/>
          <w:szCs w:val="21"/>
        </w:rPr>
        <w:t>术语和定义</w:t>
      </w:r>
      <w:bookmarkEnd w:id="45"/>
    </w:p>
    <w:bookmarkStart w:id="46" w:name="_Toc26986532" w:displacedByCustomXml="next"/>
    <w:bookmarkEnd w:id="46" w:displacedByCustomXml="next"/>
    <w:sdt>
      <w:sdtPr>
        <w:rPr>
          <w:color w:val="000000" w:themeColor="text1"/>
        </w:rPr>
        <w:id w:val="-1909835108"/>
        <w:placeholder>
          <w:docPart w:val="A0C133A906E046D9A3D46993B65CD7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1AF04E" w14:textId="77777777" w:rsidR="001251E8" w:rsidRDefault="00000000">
          <w:pPr>
            <w:pStyle w:val="afffff5"/>
            <w:ind w:firstLine="420"/>
            <w:rPr>
              <w:color w:val="000000" w:themeColor="text1"/>
            </w:rPr>
          </w:pPr>
          <w:r>
            <w:rPr>
              <w:color w:val="000000" w:themeColor="text1"/>
            </w:rPr>
            <w:t>下列术语和定义适用于本文件。</w:t>
          </w:r>
        </w:p>
      </w:sdtContent>
    </w:sdt>
    <w:p w14:paraId="4E81B7C7" w14:textId="77777777" w:rsidR="001251E8" w:rsidRDefault="00000000">
      <w:pPr>
        <w:pStyle w:val="afffffffffff4"/>
        <w:ind w:left="420" w:hangingChars="200" w:hanging="420"/>
        <w:rPr>
          <w:rFonts w:ascii="黑体" w:eastAsia="黑体" w:hAnsi="黑体" w:hint="eastAsia"/>
          <w:color w:val="000000" w:themeColor="text1"/>
        </w:rPr>
      </w:pPr>
      <w:r>
        <w:rPr>
          <w:rFonts w:ascii="黑体" w:eastAsia="黑体" w:hAnsi="黑体" w:hint="eastAsia"/>
          <w:color w:val="000000" w:themeColor="text1"/>
        </w:rPr>
        <w:t xml:space="preserve">分布式燃料电池电站 </w:t>
      </w:r>
      <w:r>
        <w:rPr>
          <w:rFonts w:ascii="黑体" w:eastAsia="黑体" w:hAnsi="黑体"/>
          <w:color w:val="000000" w:themeColor="text1"/>
        </w:rPr>
        <w:t>distributed fuel cell power</w:t>
      </w:r>
      <w:r>
        <w:rPr>
          <w:rFonts w:ascii="黑体" w:eastAsia="黑体" w:hAnsi="黑体" w:hint="eastAsia"/>
          <w:color w:val="000000" w:themeColor="text1"/>
        </w:rPr>
        <w:t xml:space="preserve"> </w:t>
      </w:r>
      <w:r>
        <w:rPr>
          <w:rFonts w:ascii="黑体" w:eastAsia="黑体" w:hAnsi="黑体"/>
          <w:color w:val="000000" w:themeColor="text1"/>
        </w:rPr>
        <w:t>station</w:t>
      </w:r>
    </w:p>
    <w:p w14:paraId="61742628" w14:textId="77777777" w:rsidR="001251E8" w:rsidRDefault="00000000">
      <w:pPr>
        <w:pStyle w:val="afffff5"/>
        <w:ind w:firstLine="420"/>
        <w:rPr>
          <w:color w:val="000000" w:themeColor="text1"/>
        </w:rPr>
      </w:pPr>
      <w:r>
        <w:rPr>
          <w:color w:val="000000" w:themeColor="text1"/>
        </w:rPr>
        <w:t>利用氢燃料电池技术，以氢气为燃料，就地将化学能转换为电能</w:t>
      </w:r>
      <w:r>
        <w:rPr>
          <w:rFonts w:hint="eastAsia"/>
          <w:color w:val="000000" w:themeColor="text1"/>
        </w:rPr>
        <w:t>的装置。</w:t>
      </w:r>
    </w:p>
    <w:p w14:paraId="3FE8B6B4" w14:textId="77777777" w:rsidR="001251E8" w:rsidRDefault="00000000">
      <w:pPr>
        <w:pStyle w:val="afffffffffff4"/>
        <w:ind w:left="420" w:hangingChars="200" w:hanging="420"/>
        <w:rPr>
          <w:rFonts w:ascii="黑体" w:eastAsia="黑体" w:hAnsi="黑体" w:hint="eastAsia"/>
          <w:color w:val="000000" w:themeColor="text1"/>
        </w:rPr>
      </w:pPr>
      <w:r>
        <w:rPr>
          <w:rFonts w:ascii="黑体" w:eastAsia="黑体" w:hAnsi="黑体" w:hint="eastAsia"/>
          <w:color w:val="000000" w:themeColor="text1"/>
        </w:rPr>
        <w:t>示范运行 demonstration</w:t>
      </w:r>
    </w:p>
    <w:p w14:paraId="5DB5FFFD" w14:textId="77777777" w:rsidR="001251E8" w:rsidRDefault="00000000">
      <w:pPr>
        <w:pStyle w:val="afffff5"/>
        <w:ind w:firstLine="420"/>
        <w:rPr>
          <w:color w:val="000000" w:themeColor="text1"/>
        </w:rPr>
      </w:pPr>
      <w:r>
        <w:rPr>
          <w:rFonts w:hint="eastAsia"/>
          <w:color w:val="000000" w:themeColor="text1"/>
        </w:rPr>
        <w:t>在规定位置及指定时间范围内，电站进行实际使用运行的过程。</w:t>
      </w:r>
    </w:p>
    <w:p w14:paraId="2A2A7CA1" w14:textId="77777777" w:rsidR="001251E8" w:rsidRDefault="00000000">
      <w:pPr>
        <w:pStyle w:val="afffffffffff4"/>
        <w:ind w:left="420" w:hangingChars="200" w:hanging="420"/>
        <w:rPr>
          <w:rFonts w:ascii="黑体" w:eastAsia="黑体" w:hAnsi="黑体" w:hint="eastAsia"/>
          <w:color w:val="000000" w:themeColor="text1"/>
        </w:rPr>
      </w:pPr>
      <w:r>
        <w:rPr>
          <w:rFonts w:ascii="黑体" w:eastAsia="黑体" w:hAnsi="黑体" w:hint="eastAsia"/>
          <w:color w:val="000000" w:themeColor="text1"/>
        </w:rPr>
        <w:t>供氢系统 hydrogen supply system</w:t>
      </w:r>
    </w:p>
    <w:p w14:paraId="3AFBFFA9" w14:textId="77777777" w:rsidR="001251E8" w:rsidRDefault="00000000">
      <w:pPr>
        <w:pStyle w:val="afffff5"/>
        <w:ind w:firstLine="420"/>
        <w:rPr>
          <w:color w:val="000000" w:themeColor="text1"/>
        </w:rPr>
      </w:pPr>
      <w:r>
        <w:rPr>
          <w:color w:val="000000" w:themeColor="text1"/>
        </w:rPr>
        <w:t>为氢燃料电池稳定、持续供应满足运行要求氢气的一整套装置集合，涵盖氢气储存设备（像高压气态储氢罐、液态储氢容器）、输送管道、减压稳压装置、纯化净化设施等，负责管控氢气压力、流量、纯度等关键指标，保障氢气安全、精准送达燃料电池。</w:t>
      </w:r>
    </w:p>
    <w:p w14:paraId="708BC1B2" w14:textId="77777777" w:rsidR="001251E8" w:rsidRDefault="00000000">
      <w:pPr>
        <w:pStyle w:val="afffffffffff4"/>
        <w:ind w:left="420" w:hangingChars="200" w:hanging="420"/>
        <w:rPr>
          <w:rFonts w:ascii="黑体" w:eastAsia="黑体" w:hAnsi="黑体" w:hint="eastAsia"/>
          <w:color w:val="000000" w:themeColor="text1"/>
        </w:rPr>
      </w:pPr>
      <w:r>
        <w:rPr>
          <w:rFonts w:ascii="黑体" w:eastAsia="黑体" w:hAnsi="黑体" w:hint="eastAsia"/>
          <w:color w:val="000000" w:themeColor="text1"/>
        </w:rPr>
        <w:t>废弃排放通道 waste discharge channels</w:t>
      </w:r>
    </w:p>
    <w:p w14:paraId="3C92B88F" w14:textId="77777777" w:rsidR="001251E8" w:rsidRDefault="00000000">
      <w:pPr>
        <w:pStyle w:val="afffff5"/>
        <w:ind w:firstLine="420"/>
        <w:rPr>
          <w:color w:val="000000" w:themeColor="text1"/>
        </w:rPr>
      </w:pPr>
      <w:r>
        <w:rPr>
          <w:rFonts w:hint="eastAsia"/>
          <w:color w:val="000000" w:themeColor="text1"/>
        </w:rPr>
        <w:t>从质子交换膜燃料电池（以下简称“燃料电池”）中将尾气输送到外界环境的管路。</w:t>
      </w:r>
    </w:p>
    <w:p w14:paraId="63BF1931" w14:textId="77777777" w:rsidR="001251E8" w:rsidRDefault="00000000">
      <w:pPr>
        <w:pStyle w:val="afffffffffff4"/>
        <w:ind w:left="420" w:hangingChars="200" w:hanging="420"/>
        <w:rPr>
          <w:rFonts w:ascii="黑体" w:eastAsia="黑体" w:hAnsi="黑体" w:hint="eastAsia"/>
          <w:color w:val="000000" w:themeColor="text1"/>
        </w:rPr>
      </w:pPr>
      <w:r>
        <w:rPr>
          <w:rFonts w:ascii="黑体" w:eastAsia="黑体" w:hAnsi="黑体" w:hint="eastAsia"/>
          <w:color w:val="000000" w:themeColor="text1"/>
        </w:rPr>
        <w:t>短期存放 short-term storage</w:t>
      </w:r>
    </w:p>
    <w:p w14:paraId="35366570" w14:textId="77777777" w:rsidR="001251E8" w:rsidRDefault="00000000">
      <w:pPr>
        <w:pStyle w:val="afffff5"/>
        <w:ind w:firstLine="420"/>
        <w:rPr>
          <w:color w:val="000000" w:themeColor="text1"/>
        </w:rPr>
      </w:pPr>
      <w:r>
        <w:rPr>
          <w:rFonts w:hint="eastAsia"/>
          <w:color w:val="000000" w:themeColor="text1"/>
        </w:rPr>
        <w:t>存放时间少于3个月。</w:t>
      </w:r>
    </w:p>
    <w:p w14:paraId="02DE3E1A" w14:textId="77777777" w:rsidR="001251E8" w:rsidRDefault="00000000">
      <w:pPr>
        <w:pStyle w:val="afffffffffff4"/>
        <w:ind w:left="420" w:hangingChars="200" w:hanging="420"/>
        <w:rPr>
          <w:rFonts w:ascii="黑体" w:eastAsia="黑体" w:hAnsi="黑体" w:hint="eastAsia"/>
          <w:color w:val="000000" w:themeColor="text1"/>
        </w:rPr>
      </w:pPr>
      <w:r>
        <w:rPr>
          <w:rFonts w:ascii="黑体" w:eastAsia="黑体" w:hAnsi="黑体" w:hint="eastAsia"/>
          <w:color w:val="000000" w:themeColor="text1"/>
        </w:rPr>
        <w:t>长期存放 long-term storage</w:t>
      </w:r>
    </w:p>
    <w:p w14:paraId="230118B4" w14:textId="77777777" w:rsidR="001251E8" w:rsidRDefault="00000000">
      <w:pPr>
        <w:pStyle w:val="afffff5"/>
        <w:ind w:firstLine="420"/>
        <w:rPr>
          <w:color w:val="000000" w:themeColor="text1"/>
        </w:rPr>
      </w:pPr>
      <w:r>
        <w:rPr>
          <w:rFonts w:hint="eastAsia"/>
          <w:color w:val="000000" w:themeColor="text1"/>
        </w:rPr>
        <w:t>存放时间在3个月以上。</w:t>
      </w:r>
    </w:p>
    <w:p w14:paraId="7C1D8024" w14:textId="77777777" w:rsidR="001251E8" w:rsidRDefault="001251E8">
      <w:pPr>
        <w:pStyle w:val="afffff5"/>
        <w:ind w:firstLine="420"/>
      </w:pPr>
    </w:p>
    <w:p w14:paraId="12C9D240" w14:textId="77777777" w:rsidR="001251E8" w:rsidRDefault="00000000">
      <w:pPr>
        <w:pStyle w:val="affc"/>
        <w:spacing w:before="240" w:after="240"/>
        <w:rPr>
          <w:szCs w:val="21"/>
        </w:rPr>
      </w:pPr>
      <w:bookmarkStart w:id="47" w:name="OLE_LINK4"/>
      <w:r>
        <w:rPr>
          <w:rFonts w:hint="eastAsia"/>
          <w:szCs w:val="21"/>
        </w:rPr>
        <w:lastRenderedPageBreak/>
        <w:t>实施示范运行的基本条件</w:t>
      </w:r>
    </w:p>
    <w:p w14:paraId="6393ADC0" w14:textId="77777777" w:rsidR="001251E8" w:rsidRDefault="00000000">
      <w:pPr>
        <w:pStyle w:val="affd"/>
        <w:spacing w:before="120" w:after="120"/>
        <w:rPr>
          <w:color w:val="000000" w:themeColor="text1"/>
        </w:rPr>
      </w:pPr>
      <w:r>
        <w:rPr>
          <w:rFonts w:hint="eastAsia"/>
          <w:color w:val="000000" w:themeColor="text1"/>
        </w:rPr>
        <w:t>环境条件</w:t>
      </w:r>
    </w:p>
    <w:p w14:paraId="337D8A0C" w14:textId="77777777" w:rsidR="001251E8" w:rsidRDefault="00000000">
      <w:pPr>
        <w:pStyle w:val="afffff5"/>
        <w:ind w:firstLineChars="0" w:firstLine="0"/>
      </w:pPr>
      <w:r>
        <w:rPr>
          <w:rFonts w:hint="eastAsia"/>
        </w:rPr>
        <w:t>4.1.1 电站在以下环境下应能够按照额定功率正常运行：</w:t>
      </w:r>
    </w:p>
    <w:p w14:paraId="7225CC64" w14:textId="77777777" w:rsidR="001251E8" w:rsidRDefault="00000000">
      <w:pPr>
        <w:pStyle w:val="afffff5"/>
        <w:ind w:firstLineChars="95" w:firstLine="199"/>
      </w:pPr>
      <w:r>
        <w:rPr>
          <w:rFonts w:hint="eastAsia"/>
        </w:rPr>
        <w:t>a）环境温度：-20℃~40℃；</w:t>
      </w:r>
    </w:p>
    <w:p w14:paraId="2F1F16F5" w14:textId="77777777" w:rsidR="001251E8" w:rsidRDefault="00000000">
      <w:pPr>
        <w:pStyle w:val="afffff5"/>
        <w:ind w:firstLineChars="95" w:firstLine="199"/>
      </w:pPr>
      <w:r>
        <w:rPr>
          <w:rFonts w:hint="eastAsia"/>
        </w:rPr>
        <w:t>b）海拔高度：≤2000m；</w:t>
      </w:r>
    </w:p>
    <w:p w14:paraId="56C08DF1" w14:textId="77777777" w:rsidR="001251E8" w:rsidRDefault="00000000">
      <w:pPr>
        <w:pStyle w:val="afffff5"/>
        <w:ind w:firstLineChars="95" w:firstLine="199"/>
      </w:pPr>
      <w:r>
        <w:rPr>
          <w:rFonts w:hint="eastAsia"/>
        </w:rPr>
        <w:t>c）相对湿度：≤95%。</w:t>
      </w:r>
    </w:p>
    <w:p w14:paraId="341247B2" w14:textId="77777777" w:rsidR="001251E8" w:rsidRDefault="00000000">
      <w:pPr>
        <w:pStyle w:val="afffff5"/>
        <w:ind w:firstLineChars="0" w:firstLine="0"/>
        <w:rPr>
          <w:color w:val="000000" w:themeColor="text1"/>
        </w:rPr>
      </w:pPr>
      <w:r>
        <w:rPr>
          <w:rFonts w:hint="eastAsia"/>
        </w:rPr>
        <w:t>4.1.2 电站</w:t>
      </w:r>
      <w:r>
        <w:t>选址应综合考虑氢气供应便利性、电力输出接入条件、周边环境安全性等因素。与居民区、商业中心、学校等人员密集场所保持不低于</w:t>
      </w:r>
      <w:r>
        <w:rPr>
          <w:rFonts w:hint="eastAsia"/>
        </w:rPr>
        <w:t>4.5</w:t>
      </w:r>
      <w:r>
        <w:t>米的安全防护距离；临近交通干道，便于氢气运输车辆通行；同时，所选场地应具备良好的排水、通风条件，地质结构稳定，能承受</w:t>
      </w:r>
      <w:r>
        <w:rPr>
          <w:rFonts w:hint="eastAsia"/>
        </w:rPr>
        <w:t>电站</w:t>
      </w:r>
      <w:r>
        <w:t>设备重量及运行震动</w:t>
      </w:r>
      <w:r>
        <w:rPr>
          <w:rFonts w:hint="eastAsia"/>
        </w:rPr>
        <w:t>，</w:t>
      </w:r>
      <w:r>
        <w:rPr>
          <w:rFonts w:hint="eastAsia"/>
          <w:color w:val="000000" w:themeColor="text1"/>
        </w:rPr>
        <w:t>地面纵向（前后）水平倾斜度不应大于6°，横向（左右）倾斜度不应大于5°</w:t>
      </w:r>
      <w:r>
        <w:rPr>
          <w:color w:val="000000" w:themeColor="text1"/>
        </w:rPr>
        <w:t>。</w:t>
      </w:r>
    </w:p>
    <w:p w14:paraId="3C5535C8" w14:textId="77777777" w:rsidR="001251E8" w:rsidRDefault="00000000">
      <w:pPr>
        <w:pStyle w:val="afffff5"/>
        <w:ind w:firstLineChars="0" w:firstLine="0"/>
        <w:rPr>
          <w:color w:val="000000" w:themeColor="text1"/>
        </w:rPr>
      </w:pPr>
      <w:r>
        <w:rPr>
          <w:rFonts w:hint="eastAsia"/>
          <w:color w:val="000000" w:themeColor="text1"/>
        </w:rPr>
        <w:t>4.1.3 示范区电气安全应符合GB 4793.1的规定。</w:t>
      </w:r>
    </w:p>
    <w:p w14:paraId="2BFD0363" w14:textId="77777777" w:rsidR="001251E8" w:rsidRDefault="00000000">
      <w:pPr>
        <w:pStyle w:val="afffff5"/>
        <w:ind w:firstLineChars="0" w:firstLine="0"/>
        <w:rPr>
          <w:color w:val="000000" w:themeColor="text1"/>
        </w:rPr>
      </w:pPr>
      <w:r>
        <w:rPr>
          <w:rFonts w:hint="eastAsia"/>
          <w:color w:val="000000" w:themeColor="text1"/>
        </w:rPr>
        <w:t>4.1.4 示范区接入的电网电能质量应符合GB/T 14549、GB/T 15543、GB/T 15945的相关规定。</w:t>
      </w:r>
    </w:p>
    <w:p w14:paraId="2477BC9E" w14:textId="77777777" w:rsidR="001251E8" w:rsidRDefault="00000000">
      <w:pPr>
        <w:pStyle w:val="affd"/>
        <w:spacing w:before="120" w:after="120"/>
        <w:rPr>
          <w:color w:val="000000" w:themeColor="text1"/>
        </w:rPr>
      </w:pPr>
      <w:r>
        <w:rPr>
          <w:rFonts w:hint="eastAsia"/>
          <w:color w:val="000000" w:themeColor="text1"/>
        </w:rPr>
        <w:t>对电站的要求</w:t>
      </w:r>
    </w:p>
    <w:p w14:paraId="208BB019" w14:textId="77777777" w:rsidR="001251E8" w:rsidRDefault="00000000">
      <w:pPr>
        <w:pStyle w:val="afffff5"/>
        <w:ind w:firstLineChars="0" w:firstLine="0"/>
        <w:outlineLvl w:val="2"/>
        <w:rPr>
          <w:color w:val="000000" w:themeColor="text1"/>
        </w:rPr>
      </w:pPr>
      <w:r>
        <w:rPr>
          <w:rFonts w:hint="eastAsia"/>
          <w:color w:val="000000" w:themeColor="text1"/>
        </w:rPr>
        <w:t>4.2.1 电站电气设计应符合GB 51048规定的要求，交流电气设备的防雷接地设计应符合</w:t>
      </w:r>
      <w:bookmarkStart w:id="48" w:name="OLE_LINK2"/>
      <w:r>
        <w:rPr>
          <w:rFonts w:hint="eastAsia"/>
          <w:color w:val="000000" w:themeColor="text1"/>
        </w:rPr>
        <w:t>GB/T 50065</w:t>
      </w:r>
      <w:bookmarkEnd w:id="48"/>
      <w:r>
        <w:rPr>
          <w:rFonts w:hint="eastAsia"/>
          <w:color w:val="000000" w:themeColor="text1"/>
        </w:rPr>
        <w:t>的规定，火灾自动报警系统要求符合GB 51048的规定，燃料电池应符合GB/T 36544、GB/T 27748.1和GB/T 27748.3规定的要求。</w:t>
      </w:r>
    </w:p>
    <w:p w14:paraId="29EF797D" w14:textId="77777777" w:rsidR="001251E8" w:rsidRDefault="00000000">
      <w:pPr>
        <w:pStyle w:val="afffff5"/>
        <w:ind w:firstLineChars="0" w:firstLine="0"/>
        <w:outlineLvl w:val="2"/>
        <w:rPr>
          <w:color w:val="000000" w:themeColor="text1"/>
        </w:rPr>
      </w:pPr>
      <w:r>
        <w:rPr>
          <w:rFonts w:hint="eastAsia"/>
          <w:color w:val="000000" w:themeColor="text1"/>
        </w:rPr>
        <w:t>4.2.2 外观和结构</w:t>
      </w:r>
    </w:p>
    <w:p w14:paraId="6314720C" w14:textId="77777777" w:rsidR="001251E8" w:rsidRDefault="00000000">
      <w:pPr>
        <w:pStyle w:val="afffff5"/>
        <w:ind w:firstLine="420"/>
        <w:rPr>
          <w:color w:val="000000" w:themeColor="text1"/>
        </w:rPr>
      </w:pPr>
      <w:r>
        <w:rPr>
          <w:rFonts w:hint="eastAsia"/>
          <w:color w:val="000000" w:themeColor="text1"/>
        </w:rPr>
        <w:t>箱体外观应符合以下要求：</w:t>
      </w:r>
    </w:p>
    <w:p w14:paraId="226814B2" w14:textId="77777777" w:rsidR="001251E8" w:rsidRDefault="00000000">
      <w:pPr>
        <w:pStyle w:val="afffff5"/>
        <w:ind w:firstLine="420"/>
        <w:rPr>
          <w:color w:val="000000" w:themeColor="text1"/>
        </w:rPr>
      </w:pPr>
      <w:r>
        <w:rPr>
          <w:color w:val="000000" w:themeColor="text1"/>
        </w:rPr>
        <w:t>箱体应具备足够的强度和稳定性，以承受内部设备的重量、运输过程中的震动和冲击，以及可能遇到的自然灾害等外力作用</w:t>
      </w:r>
      <w:r>
        <w:rPr>
          <w:rFonts w:hint="eastAsia"/>
          <w:color w:val="000000" w:themeColor="text1"/>
        </w:rPr>
        <w:t>；</w:t>
      </w:r>
    </w:p>
    <w:p w14:paraId="0DEEBE71" w14:textId="77777777" w:rsidR="001251E8" w:rsidRDefault="00000000">
      <w:pPr>
        <w:pStyle w:val="afffff5"/>
        <w:ind w:firstLine="420"/>
        <w:rPr>
          <w:color w:val="000000" w:themeColor="text1"/>
        </w:rPr>
      </w:pPr>
      <w:r>
        <w:rPr>
          <w:rFonts w:hint="eastAsia"/>
          <w:color w:val="000000" w:themeColor="text1"/>
        </w:rPr>
        <w:t>箱体或内部零部件至少应满足IP54的防护等级；</w:t>
      </w:r>
    </w:p>
    <w:p w14:paraId="1B0CBD5C" w14:textId="77777777" w:rsidR="001251E8" w:rsidRDefault="00000000">
      <w:pPr>
        <w:pStyle w:val="afffff5"/>
        <w:ind w:firstLine="420"/>
        <w:rPr>
          <w:color w:val="000000" w:themeColor="text1"/>
        </w:rPr>
      </w:pPr>
      <w:r>
        <w:rPr>
          <w:rFonts w:hint="eastAsia"/>
          <w:color w:val="000000" w:themeColor="text1"/>
        </w:rPr>
        <w:t>箱体外表应清洁，无机械损伤，接口触点无锈蚀；</w:t>
      </w:r>
    </w:p>
    <w:p w14:paraId="52C930C3" w14:textId="77777777" w:rsidR="001251E8" w:rsidRDefault="00000000">
      <w:pPr>
        <w:pStyle w:val="afffff5"/>
        <w:ind w:firstLine="420"/>
        <w:rPr>
          <w:color w:val="000000" w:themeColor="text1"/>
        </w:rPr>
      </w:pPr>
      <w:r>
        <w:rPr>
          <w:rFonts w:hint="eastAsia"/>
          <w:color w:val="000000" w:themeColor="text1"/>
        </w:rPr>
        <w:t>箱体表面应有产品标识，且标识清楚；</w:t>
      </w:r>
    </w:p>
    <w:p w14:paraId="0B60877A" w14:textId="77777777" w:rsidR="001251E8" w:rsidRDefault="00000000">
      <w:pPr>
        <w:pStyle w:val="afffff5"/>
        <w:ind w:firstLine="420"/>
        <w:rPr>
          <w:color w:val="000000" w:themeColor="text1"/>
        </w:rPr>
      </w:pPr>
      <w:r>
        <w:rPr>
          <w:rFonts w:hint="eastAsia"/>
          <w:color w:val="000000" w:themeColor="text1"/>
        </w:rPr>
        <w:t>箱体的通信接口、电源接口、干接点接口、氢气接口等应有明确的标识。</w:t>
      </w:r>
    </w:p>
    <w:p w14:paraId="113A169C" w14:textId="77777777" w:rsidR="001251E8" w:rsidRDefault="00000000">
      <w:pPr>
        <w:pStyle w:val="affd"/>
        <w:spacing w:before="120" w:after="120"/>
        <w:rPr>
          <w:color w:val="000000" w:themeColor="text1"/>
        </w:rPr>
      </w:pPr>
      <w:r>
        <w:rPr>
          <w:rFonts w:hint="eastAsia"/>
          <w:color w:val="000000" w:themeColor="text1"/>
        </w:rPr>
        <w:t>配套设施</w:t>
      </w:r>
    </w:p>
    <w:p w14:paraId="7C82167D" w14:textId="77777777" w:rsidR="001251E8" w:rsidRDefault="00000000">
      <w:pPr>
        <w:pStyle w:val="afffff5"/>
        <w:ind w:firstLine="420"/>
        <w:rPr>
          <w:color w:val="000000" w:themeColor="text1"/>
        </w:rPr>
      </w:pPr>
      <w:r>
        <w:rPr>
          <w:rFonts w:hint="eastAsia"/>
          <w:color w:val="000000" w:themeColor="text1"/>
        </w:rPr>
        <w:t>供氢系统需布置在距离电站4.5m外，且供氢系统应符合GB/T 34872相关规定；</w:t>
      </w:r>
    </w:p>
    <w:p w14:paraId="25A5C5FA" w14:textId="77777777" w:rsidR="001251E8" w:rsidRDefault="00000000">
      <w:pPr>
        <w:pStyle w:val="afffff5"/>
        <w:ind w:firstLine="420"/>
        <w:rPr>
          <w:color w:val="000000" w:themeColor="text1"/>
        </w:rPr>
      </w:pPr>
      <w:r>
        <w:rPr>
          <w:rFonts w:hint="eastAsia"/>
          <w:color w:val="000000" w:themeColor="text1"/>
        </w:rPr>
        <w:t>废弃排放通道需布置在距离电站4.5m外，且与供氢系统不在同一位置。</w:t>
      </w:r>
    </w:p>
    <w:p w14:paraId="63A8D85E" w14:textId="77777777" w:rsidR="001251E8" w:rsidRDefault="00000000">
      <w:pPr>
        <w:pStyle w:val="affd"/>
        <w:spacing w:before="120" w:after="120"/>
        <w:rPr>
          <w:color w:val="000000" w:themeColor="text1"/>
        </w:rPr>
      </w:pPr>
      <w:r>
        <w:rPr>
          <w:rFonts w:hint="eastAsia"/>
          <w:color w:val="000000" w:themeColor="text1"/>
        </w:rPr>
        <w:t>管理体系</w:t>
      </w:r>
    </w:p>
    <w:p w14:paraId="5F81721A" w14:textId="77777777" w:rsidR="001251E8" w:rsidRDefault="00000000">
      <w:pPr>
        <w:pStyle w:val="afffff5"/>
        <w:ind w:firstLine="420"/>
        <w:rPr>
          <w:color w:val="000000" w:themeColor="text1"/>
        </w:rPr>
      </w:pPr>
      <w:r>
        <w:rPr>
          <w:color w:val="000000" w:themeColor="text1"/>
        </w:rPr>
        <w:t>实施示范运行的单位应具备</w:t>
      </w:r>
      <w:r>
        <w:rPr>
          <w:rFonts w:hint="eastAsia"/>
          <w:color w:val="000000" w:themeColor="text1"/>
        </w:rPr>
        <w:t>电站</w:t>
      </w:r>
      <w:r>
        <w:rPr>
          <w:color w:val="000000" w:themeColor="text1"/>
        </w:rPr>
        <w:t>示范运行的完善的组织管理体系和安全生产责任制,并有周密的事故处理措施预案。</w:t>
      </w:r>
    </w:p>
    <w:p w14:paraId="04033521" w14:textId="77777777" w:rsidR="001251E8" w:rsidRDefault="00000000">
      <w:pPr>
        <w:pStyle w:val="affd"/>
        <w:spacing w:before="120" w:after="120"/>
        <w:rPr>
          <w:color w:val="000000" w:themeColor="text1"/>
        </w:rPr>
      </w:pPr>
      <w:r>
        <w:rPr>
          <w:rFonts w:hint="eastAsia"/>
          <w:color w:val="000000" w:themeColor="text1"/>
        </w:rPr>
        <w:t>参与人员</w:t>
      </w:r>
    </w:p>
    <w:p w14:paraId="0A19D2C3" w14:textId="77777777" w:rsidR="001251E8" w:rsidRDefault="00000000">
      <w:pPr>
        <w:pStyle w:val="afffff5"/>
        <w:ind w:firstLine="420"/>
        <w:rPr>
          <w:color w:val="000000" w:themeColor="text1"/>
        </w:rPr>
      </w:pPr>
      <w:r>
        <w:rPr>
          <w:color w:val="000000" w:themeColor="text1"/>
        </w:rPr>
        <w:t>参加示范运行的所有人员应接受</w:t>
      </w:r>
      <w:r>
        <w:rPr>
          <w:rFonts w:hint="eastAsia"/>
          <w:color w:val="000000" w:themeColor="text1"/>
        </w:rPr>
        <w:t>电站</w:t>
      </w:r>
      <w:r>
        <w:rPr>
          <w:color w:val="000000" w:themeColor="text1"/>
        </w:rPr>
        <w:t>相关专业和安全知识的培训,考核合格并取得相应岗位的操作资质。</w:t>
      </w:r>
      <w:bookmarkEnd w:id="47"/>
    </w:p>
    <w:p w14:paraId="1BB736EB" w14:textId="77777777" w:rsidR="001251E8" w:rsidRDefault="00000000">
      <w:pPr>
        <w:pStyle w:val="affc"/>
        <w:spacing w:before="240" w:after="240"/>
        <w:rPr>
          <w:color w:val="000000" w:themeColor="text1"/>
          <w:szCs w:val="21"/>
        </w:rPr>
      </w:pPr>
      <w:r>
        <w:rPr>
          <w:rFonts w:hint="eastAsia"/>
          <w:color w:val="000000" w:themeColor="text1"/>
          <w:szCs w:val="21"/>
        </w:rPr>
        <w:t>运行中危害的预防</w:t>
      </w:r>
    </w:p>
    <w:p w14:paraId="5EC29210" w14:textId="77777777" w:rsidR="001251E8" w:rsidRDefault="00000000">
      <w:pPr>
        <w:pStyle w:val="affd"/>
        <w:spacing w:before="120" w:after="120"/>
        <w:rPr>
          <w:color w:val="000000" w:themeColor="text1"/>
        </w:rPr>
      </w:pPr>
      <w:r>
        <w:rPr>
          <w:rFonts w:hint="eastAsia"/>
          <w:color w:val="000000" w:themeColor="text1"/>
        </w:rPr>
        <w:t>氢泄漏、氢气的燃烧及爆炸</w:t>
      </w:r>
    </w:p>
    <w:p w14:paraId="696A4E98" w14:textId="77777777" w:rsidR="001251E8" w:rsidRDefault="00000000">
      <w:pPr>
        <w:pStyle w:val="afffff5"/>
        <w:ind w:firstLineChars="0" w:firstLine="0"/>
        <w:outlineLvl w:val="2"/>
        <w:rPr>
          <w:color w:val="000000" w:themeColor="text1"/>
        </w:rPr>
      </w:pPr>
      <w:r>
        <w:rPr>
          <w:rFonts w:hint="eastAsia"/>
          <w:color w:val="000000" w:themeColor="text1"/>
        </w:rPr>
        <w:t>5.1.1 电站内设备布局应合理，保证氢气输送管道、储存容器等关键设备之间有足够的安全间距。</w:t>
      </w:r>
    </w:p>
    <w:p w14:paraId="2E5614CE" w14:textId="77777777" w:rsidR="001251E8" w:rsidRDefault="00000000">
      <w:pPr>
        <w:pStyle w:val="afffff5"/>
        <w:ind w:firstLineChars="0" w:firstLine="0"/>
        <w:outlineLvl w:val="2"/>
        <w:rPr>
          <w:color w:val="000000" w:themeColor="text1"/>
        </w:rPr>
      </w:pPr>
      <w:r>
        <w:rPr>
          <w:rFonts w:hint="eastAsia"/>
          <w:color w:val="000000" w:themeColor="text1"/>
        </w:rPr>
        <w:t>5.1.2 通风设计应确保站内空气能够有效流通，保障电站内涉氢箱体内氢气浓度在25%LEL以下。</w:t>
      </w:r>
    </w:p>
    <w:p w14:paraId="3768F8C8" w14:textId="77777777" w:rsidR="001251E8" w:rsidRDefault="00000000">
      <w:pPr>
        <w:pStyle w:val="afffff5"/>
        <w:ind w:firstLineChars="0" w:firstLine="0"/>
        <w:outlineLvl w:val="2"/>
        <w:rPr>
          <w:color w:val="000000" w:themeColor="text1"/>
        </w:rPr>
      </w:pPr>
      <w:r>
        <w:rPr>
          <w:rFonts w:hint="eastAsia"/>
          <w:color w:val="000000" w:themeColor="text1"/>
        </w:rPr>
        <w:t>5.1.3 电站应配备高精度的氢气监测设备，能够实时监测站内氢气浓度。监测点要合理分布，包括氢气储存区域、输送管道沿线、燃料电池电堆附近等关键位置。</w:t>
      </w:r>
    </w:p>
    <w:p w14:paraId="511CD13E" w14:textId="77777777" w:rsidR="001251E8" w:rsidRDefault="00000000">
      <w:pPr>
        <w:pStyle w:val="afffff5"/>
        <w:ind w:firstLineChars="0" w:firstLine="0"/>
        <w:outlineLvl w:val="2"/>
        <w:rPr>
          <w:color w:val="000000" w:themeColor="text1"/>
        </w:rPr>
      </w:pPr>
      <w:r>
        <w:rPr>
          <w:rFonts w:hint="eastAsia"/>
          <w:color w:val="000000" w:themeColor="text1"/>
        </w:rPr>
        <w:t>5.1.4 严格制定操作手册，操作人员必须按照操作规范进行作业。在进行氢气充装、设备维修等涉及氢气的操作时，要采取必要的安全措施，如使用防爆工具、进行气体置换等。</w:t>
      </w:r>
    </w:p>
    <w:p w14:paraId="59942764" w14:textId="77777777" w:rsidR="001251E8" w:rsidRDefault="00000000">
      <w:pPr>
        <w:pStyle w:val="afffff5"/>
        <w:ind w:firstLineChars="0" w:firstLine="0"/>
        <w:outlineLvl w:val="2"/>
        <w:rPr>
          <w:color w:val="000000" w:themeColor="text1"/>
        </w:rPr>
      </w:pPr>
      <w:r>
        <w:rPr>
          <w:rFonts w:hint="eastAsia"/>
          <w:color w:val="000000" w:themeColor="text1"/>
        </w:rPr>
        <w:t>5.1.5 每季度或每半年对氢气储存容器、输送管道和燃料电池等要进行定期的维护和检测。</w:t>
      </w:r>
    </w:p>
    <w:p w14:paraId="23B80870" w14:textId="77777777" w:rsidR="001251E8" w:rsidRDefault="00000000">
      <w:pPr>
        <w:pStyle w:val="afffff5"/>
        <w:ind w:firstLineChars="0" w:firstLine="0"/>
        <w:outlineLvl w:val="2"/>
        <w:rPr>
          <w:color w:val="000000" w:themeColor="text1"/>
        </w:rPr>
      </w:pPr>
      <w:r>
        <w:rPr>
          <w:rFonts w:hint="eastAsia"/>
          <w:color w:val="000000" w:themeColor="text1"/>
        </w:rPr>
        <w:lastRenderedPageBreak/>
        <w:t>5.1.6 电站应制定完善的应急预案，包括氢气泄漏、爆炸等事故的应急处理流程。应急预案要明确各部门和人员在事故发生时的职责。</w:t>
      </w:r>
    </w:p>
    <w:p w14:paraId="662873BF" w14:textId="77777777" w:rsidR="001251E8" w:rsidRDefault="00000000">
      <w:pPr>
        <w:pStyle w:val="affd"/>
        <w:spacing w:before="120" w:after="120"/>
        <w:rPr>
          <w:color w:val="000000" w:themeColor="text1"/>
        </w:rPr>
      </w:pPr>
      <w:r>
        <w:rPr>
          <w:rFonts w:hint="eastAsia"/>
          <w:color w:val="000000" w:themeColor="text1"/>
        </w:rPr>
        <w:t>电击伤害</w:t>
      </w:r>
    </w:p>
    <w:p w14:paraId="38ED5608" w14:textId="77777777" w:rsidR="001251E8" w:rsidRDefault="00000000">
      <w:pPr>
        <w:pStyle w:val="afffff5"/>
        <w:ind w:firstLineChars="0" w:firstLine="0"/>
        <w:outlineLvl w:val="2"/>
        <w:rPr>
          <w:color w:val="000000" w:themeColor="text1"/>
        </w:rPr>
      </w:pPr>
      <w:r>
        <w:rPr>
          <w:rFonts w:hint="eastAsia"/>
          <w:color w:val="000000" w:themeColor="text1"/>
        </w:rPr>
        <w:t>电站关闭后，应经放电、检测或确认不存在高压后才可触摸。</w:t>
      </w:r>
    </w:p>
    <w:p w14:paraId="040A3D1D" w14:textId="77777777" w:rsidR="001251E8" w:rsidRDefault="00000000">
      <w:pPr>
        <w:pStyle w:val="affd"/>
        <w:spacing w:before="120" w:after="120"/>
        <w:rPr>
          <w:color w:val="000000" w:themeColor="text1"/>
        </w:rPr>
      </w:pPr>
      <w:r>
        <w:rPr>
          <w:rFonts w:hint="eastAsia"/>
          <w:color w:val="000000" w:themeColor="text1"/>
        </w:rPr>
        <w:t>高温、高压和化学伤害</w:t>
      </w:r>
    </w:p>
    <w:p w14:paraId="17D72A99" w14:textId="77777777" w:rsidR="001251E8" w:rsidRDefault="00000000">
      <w:pPr>
        <w:pStyle w:val="afffff5"/>
        <w:ind w:firstLineChars="0" w:firstLine="0"/>
        <w:outlineLvl w:val="2"/>
        <w:rPr>
          <w:color w:val="000000" w:themeColor="text1"/>
        </w:rPr>
      </w:pPr>
      <w:r>
        <w:rPr>
          <w:rFonts w:hint="eastAsia"/>
          <w:color w:val="000000" w:themeColor="text1"/>
        </w:rPr>
        <w:t>5.3.1 高温、高压零部件在正常运行过程中不允许拧动其管路与接头。</w:t>
      </w:r>
    </w:p>
    <w:p w14:paraId="3489F7BD" w14:textId="77777777" w:rsidR="001251E8" w:rsidRDefault="00000000">
      <w:pPr>
        <w:pStyle w:val="afffff5"/>
        <w:ind w:firstLineChars="0" w:firstLine="0"/>
        <w:outlineLvl w:val="2"/>
        <w:rPr>
          <w:color w:val="000000" w:themeColor="text1"/>
        </w:rPr>
      </w:pPr>
      <w:r>
        <w:rPr>
          <w:rFonts w:hint="eastAsia"/>
          <w:color w:val="000000" w:themeColor="text1"/>
        </w:rPr>
        <w:t>5.3.2 对电站使用的乙二醇冷却液等化学溶液，要严格按照相关规定使用，以防止对人员造成伤害以及对环境造成污染。</w:t>
      </w:r>
    </w:p>
    <w:p w14:paraId="2BF1E46E" w14:textId="77777777" w:rsidR="001251E8" w:rsidRDefault="00000000">
      <w:pPr>
        <w:pStyle w:val="affc"/>
        <w:spacing w:before="240" w:after="240"/>
        <w:rPr>
          <w:color w:val="000000" w:themeColor="text1"/>
          <w:szCs w:val="21"/>
        </w:rPr>
      </w:pPr>
      <w:r>
        <w:rPr>
          <w:rFonts w:hint="eastAsia"/>
          <w:color w:val="000000" w:themeColor="text1"/>
          <w:szCs w:val="21"/>
        </w:rPr>
        <w:t>电站的启动</w:t>
      </w:r>
    </w:p>
    <w:p w14:paraId="79D51079" w14:textId="77777777" w:rsidR="001251E8" w:rsidRDefault="00000000">
      <w:pPr>
        <w:pStyle w:val="affd"/>
        <w:spacing w:before="120" w:after="120"/>
        <w:rPr>
          <w:color w:val="000000" w:themeColor="text1"/>
        </w:rPr>
      </w:pPr>
      <w:r>
        <w:rPr>
          <w:rFonts w:hint="eastAsia"/>
          <w:color w:val="000000" w:themeColor="text1"/>
        </w:rPr>
        <w:t>设备检查</w:t>
      </w:r>
    </w:p>
    <w:p w14:paraId="7DE5DADA" w14:textId="77777777" w:rsidR="001251E8" w:rsidRDefault="00000000">
      <w:pPr>
        <w:pStyle w:val="afffff5"/>
        <w:ind w:firstLine="420"/>
        <w:rPr>
          <w:color w:val="000000" w:themeColor="text1"/>
        </w:rPr>
      </w:pPr>
      <w:r>
        <w:rPr>
          <w:rFonts w:hint="eastAsia"/>
          <w:color w:val="000000" w:themeColor="text1"/>
        </w:rPr>
        <w:t>制定详细的启动检查规范，按照规范对电站系统内部管路、电路、周边环境进行检查。</w:t>
      </w:r>
    </w:p>
    <w:p w14:paraId="7609E8C9" w14:textId="77777777" w:rsidR="001251E8" w:rsidRDefault="00000000">
      <w:pPr>
        <w:pStyle w:val="affd"/>
        <w:spacing w:before="120" w:after="120"/>
        <w:rPr>
          <w:color w:val="000000" w:themeColor="text1"/>
        </w:rPr>
      </w:pPr>
      <w:r>
        <w:rPr>
          <w:rFonts w:hint="eastAsia"/>
          <w:color w:val="000000" w:themeColor="text1"/>
        </w:rPr>
        <w:t>启动前软件准备</w:t>
      </w:r>
    </w:p>
    <w:p w14:paraId="75345024" w14:textId="77777777" w:rsidR="001251E8" w:rsidRDefault="00000000">
      <w:pPr>
        <w:pStyle w:val="afffff5"/>
        <w:ind w:firstLineChars="0" w:firstLine="0"/>
        <w:outlineLvl w:val="2"/>
        <w:rPr>
          <w:color w:val="000000" w:themeColor="text1"/>
        </w:rPr>
      </w:pPr>
      <w:r>
        <w:rPr>
          <w:rFonts w:hint="eastAsia"/>
          <w:color w:val="000000" w:themeColor="text1"/>
        </w:rPr>
        <w:t>6.1.1 系统初始化检查</w:t>
      </w:r>
    </w:p>
    <w:p w14:paraId="72F36F49" w14:textId="77777777" w:rsidR="001251E8" w:rsidRDefault="00000000">
      <w:pPr>
        <w:pStyle w:val="afffff5"/>
        <w:ind w:firstLine="420"/>
        <w:outlineLvl w:val="2"/>
        <w:rPr>
          <w:color w:val="000000" w:themeColor="text1"/>
        </w:rPr>
      </w:pPr>
      <w:r>
        <w:rPr>
          <w:rFonts w:hint="eastAsia"/>
          <w:color w:val="000000" w:themeColor="text1"/>
        </w:rPr>
        <w:t>电站上电后，首先对整个电站系统进行初始化检查，检查内容包括燃料电池系统、氢气供应系统、动力电池系统、PCS等。主要检查的内容包括</w:t>
      </w:r>
    </w:p>
    <w:p w14:paraId="00012741" w14:textId="77777777" w:rsidR="001251E8" w:rsidRDefault="00000000">
      <w:pPr>
        <w:pStyle w:val="afffff5"/>
        <w:numPr>
          <w:ilvl w:val="0"/>
          <w:numId w:val="32"/>
        </w:numPr>
        <w:ind w:firstLine="420"/>
        <w:outlineLvl w:val="2"/>
        <w:rPr>
          <w:color w:val="000000" w:themeColor="text1"/>
        </w:rPr>
      </w:pPr>
      <w:r>
        <w:rPr>
          <w:rFonts w:hint="eastAsia"/>
          <w:color w:val="000000" w:themeColor="text1"/>
        </w:rPr>
        <w:t>各控制器之间的通信是否正常；</w:t>
      </w:r>
    </w:p>
    <w:p w14:paraId="474B9319" w14:textId="77777777" w:rsidR="001251E8" w:rsidRDefault="00000000">
      <w:pPr>
        <w:pStyle w:val="afffff5"/>
        <w:numPr>
          <w:ilvl w:val="0"/>
          <w:numId w:val="32"/>
        </w:numPr>
        <w:ind w:firstLine="420"/>
        <w:outlineLvl w:val="2"/>
        <w:rPr>
          <w:color w:val="000000" w:themeColor="text1"/>
        </w:rPr>
      </w:pPr>
      <w:r>
        <w:rPr>
          <w:rFonts w:hint="eastAsia"/>
          <w:color w:val="000000" w:themeColor="text1"/>
        </w:rPr>
        <w:t>各系统是否有故障。如检测到故障，电站及时通过显示屏上报故障并给出相关安全提示。</w:t>
      </w:r>
    </w:p>
    <w:p w14:paraId="3956FF8C" w14:textId="77777777" w:rsidR="001251E8" w:rsidRDefault="00000000">
      <w:pPr>
        <w:pStyle w:val="afffff5"/>
        <w:ind w:firstLineChars="0" w:firstLine="0"/>
        <w:outlineLvl w:val="2"/>
        <w:rPr>
          <w:color w:val="000000" w:themeColor="text1"/>
        </w:rPr>
      </w:pPr>
      <w:r>
        <w:rPr>
          <w:rFonts w:hint="eastAsia"/>
          <w:color w:val="000000" w:themeColor="text1"/>
        </w:rPr>
        <w:t>6.1.2 状态监测软件启动</w:t>
      </w:r>
    </w:p>
    <w:p w14:paraId="599680EA" w14:textId="77777777" w:rsidR="001251E8" w:rsidRDefault="00000000">
      <w:pPr>
        <w:pStyle w:val="afffff5"/>
        <w:ind w:firstLine="420"/>
        <w:outlineLvl w:val="2"/>
        <w:rPr>
          <w:color w:val="000000" w:themeColor="text1"/>
        </w:rPr>
      </w:pPr>
      <w:r>
        <w:rPr>
          <w:rFonts w:hint="eastAsia"/>
          <w:color w:val="000000" w:themeColor="text1"/>
        </w:rPr>
        <w:t>系统应具备数据自动记录的能力，设备需具备数采，能够通过远程网络的形式，将采集的数据发回云平台，用于性能评估和故障诊断。同时，考虑到远程网络可能存在的问题，设备需具备一定的本地数据存储的能力。数据采集要求多样且完整，包括电压、电流、温度、压力、流量等参数。采样频率可根据不同数据提出不同的要求。</w:t>
      </w:r>
    </w:p>
    <w:p w14:paraId="7DDC6FCA" w14:textId="77777777" w:rsidR="001251E8" w:rsidRDefault="00000000">
      <w:pPr>
        <w:pStyle w:val="affd"/>
        <w:spacing w:before="120" w:after="120"/>
        <w:rPr>
          <w:color w:val="000000" w:themeColor="text1"/>
        </w:rPr>
      </w:pPr>
      <w:r>
        <w:rPr>
          <w:rFonts w:hint="eastAsia"/>
          <w:color w:val="000000" w:themeColor="text1"/>
        </w:rPr>
        <w:t>启动操作软件流程</w:t>
      </w:r>
    </w:p>
    <w:p w14:paraId="0CB98FF9" w14:textId="77777777" w:rsidR="001251E8" w:rsidRDefault="00000000">
      <w:pPr>
        <w:pStyle w:val="afffff5"/>
        <w:ind w:firstLineChars="0" w:firstLine="0"/>
        <w:outlineLvl w:val="2"/>
        <w:rPr>
          <w:color w:val="000000" w:themeColor="text1"/>
        </w:rPr>
      </w:pPr>
      <w:r>
        <w:rPr>
          <w:rFonts w:hint="eastAsia"/>
          <w:color w:val="000000" w:themeColor="text1"/>
        </w:rPr>
        <w:t>6.2.1 供氢系统启动</w:t>
      </w:r>
    </w:p>
    <w:p w14:paraId="45D4F309" w14:textId="77777777" w:rsidR="001251E8" w:rsidRDefault="00000000">
      <w:pPr>
        <w:pStyle w:val="afffff5"/>
        <w:ind w:firstLine="420"/>
        <w:outlineLvl w:val="2"/>
        <w:rPr>
          <w:color w:val="000000" w:themeColor="text1"/>
        </w:rPr>
      </w:pPr>
      <w:r>
        <w:rPr>
          <w:rFonts w:hint="eastAsia"/>
          <w:color w:val="000000" w:themeColor="text1"/>
        </w:rPr>
        <w:t>在电站启动前，需要确保氢气的供应，通过软件启动供应系统，同时检查氢气的余量，确保氢气能够满足电站正常运行。</w:t>
      </w:r>
    </w:p>
    <w:p w14:paraId="157C8739" w14:textId="77777777" w:rsidR="001251E8" w:rsidRDefault="00000000">
      <w:pPr>
        <w:pStyle w:val="afffff5"/>
        <w:ind w:firstLineChars="0" w:firstLine="0"/>
        <w:outlineLvl w:val="2"/>
        <w:rPr>
          <w:color w:val="000000" w:themeColor="text1"/>
        </w:rPr>
      </w:pPr>
      <w:r>
        <w:rPr>
          <w:rFonts w:hint="eastAsia"/>
          <w:color w:val="000000" w:themeColor="text1"/>
        </w:rPr>
        <w:t>6.2.2 电站上电</w:t>
      </w:r>
    </w:p>
    <w:p w14:paraId="655C5F36" w14:textId="77777777" w:rsidR="001251E8" w:rsidRDefault="00000000">
      <w:pPr>
        <w:pStyle w:val="afffff5"/>
        <w:ind w:firstLine="420"/>
        <w:outlineLvl w:val="2"/>
        <w:rPr>
          <w:color w:val="000000" w:themeColor="text1"/>
        </w:rPr>
      </w:pPr>
      <w:r>
        <w:rPr>
          <w:rFonts w:hint="eastAsia"/>
          <w:color w:val="000000" w:themeColor="text1"/>
        </w:rPr>
        <w:t>按照操作顺序，先合上电站的电源开关，使电站的低压零部件上电。在合上开关时，要注意观察开关的合闸动作是否正常，有无异常声响或火花。</w:t>
      </w:r>
    </w:p>
    <w:p w14:paraId="23BD7BBA" w14:textId="77777777" w:rsidR="001251E8" w:rsidRDefault="00000000">
      <w:pPr>
        <w:pStyle w:val="afffff5"/>
        <w:ind w:firstLine="420"/>
        <w:outlineLvl w:val="2"/>
        <w:rPr>
          <w:color w:val="000000" w:themeColor="text1"/>
        </w:rPr>
      </w:pPr>
      <w:r>
        <w:rPr>
          <w:rFonts w:hint="eastAsia"/>
          <w:color w:val="000000" w:themeColor="text1"/>
        </w:rPr>
        <w:t>若是接入外部电网电源的电站，要按照调度指令，在合适的时间准确地进行并网操作。并网操作要求电压、频率、相位等参数严格匹配。</w:t>
      </w:r>
    </w:p>
    <w:p w14:paraId="374051A2" w14:textId="77777777" w:rsidR="001251E8" w:rsidRDefault="00000000">
      <w:pPr>
        <w:pStyle w:val="affd"/>
        <w:spacing w:before="120" w:after="120"/>
        <w:rPr>
          <w:color w:val="000000" w:themeColor="text1"/>
        </w:rPr>
      </w:pPr>
      <w:r>
        <w:rPr>
          <w:rFonts w:hint="eastAsia"/>
          <w:color w:val="000000" w:themeColor="text1"/>
        </w:rPr>
        <w:t>启动电站</w:t>
      </w:r>
    </w:p>
    <w:p w14:paraId="39887D22" w14:textId="77777777" w:rsidR="001251E8" w:rsidRDefault="00000000">
      <w:pPr>
        <w:pStyle w:val="afffff5"/>
        <w:ind w:firstLine="420"/>
        <w:outlineLvl w:val="2"/>
        <w:rPr>
          <w:color w:val="000000" w:themeColor="text1"/>
        </w:rPr>
      </w:pPr>
      <w:r>
        <w:rPr>
          <w:rFonts w:hint="eastAsia"/>
          <w:color w:val="000000" w:themeColor="text1"/>
        </w:rPr>
        <w:t xml:space="preserve">在软件操作界面上，按操作进行电站模式的选择以及必要的操作。 </w:t>
      </w:r>
    </w:p>
    <w:p w14:paraId="44354D8E" w14:textId="77777777" w:rsidR="001251E8" w:rsidRDefault="00000000">
      <w:pPr>
        <w:pStyle w:val="affc"/>
        <w:spacing w:before="240" w:after="240"/>
        <w:rPr>
          <w:color w:val="000000" w:themeColor="text1"/>
          <w:szCs w:val="21"/>
        </w:rPr>
      </w:pPr>
      <w:r>
        <w:rPr>
          <w:rFonts w:hint="eastAsia"/>
          <w:color w:val="000000" w:themeColor="text1"/>
          <w:szCs w:val="21"/>
        </w:rPr>
        <w:t>电站的存放</w:t>
      </w:r>
    </w:p>
    <w:p w14:paraId="4BED1002" w14:textId="77777777" w:rsidR="001251E8" w:rsidRDefault="00000000">
      <w:pPr>
        <w:pStyle w:val="affd"/>
        <w:spacing w:before="120" w:after="120"/>
        <w:rPr>
          <w:color w:val="000000" w:themeColor="text1"/>
        </w:rPr>
      </w:pPr>
      <w:r>
        <w:rPr>
          <w:rFonts w:hint="eastAsia"/>
          <w:color w:val="000000" w:themeColor="text1"/>
        </w:rPr>
        <w:t>短期存放</w:t>
      </w:r>
    </w:p>
    <w:p w14:paraId="608C0B3E" w14:textId="77777777" w:rsidR="001251E8" w:rsidRDefault="00000000">
      <w:pPr>
        <w:pStyle w:val="afffff5"/>
        <w:ind w:firstLineChars="0" w:firstLine="0"/>
        <w:outlineLvl w:val="2"/>
        <w:rPr>
          <w:color w:val="000000" w:themeColor="text1"/>
        </w:rPr>
      </w:pPr>
      <w:r>
        <w:rPr>
          <w:rFonts w:hint="eastAsia"/>
          <w:color w:val="000000" w:themeColor="text1"/>
        </w:rPr>
        <w:t>7.1.1 电站应确保其处于干燥、清洁的环境中。</w:t>
      </w:r>
    </w:p>
    <w:p w14:paraId="779846A7" w14:textId="77777777" w:rsidR="001251E8" w:rsidRDefault="00000000">
      <w:pPr>
        <w:pStyle w:val="afffff5"/>
        <w:ind w:firstLineChars="0" w:firstLine="0"/>
        <w:outlineLvl w:val="2"/>
        <w:rPr>
          <w:color w:val="000000" w:themeColor="text1"/>
        </w:rPr>
      </w:pPr>
      <w:r>
        <w:rPr>
          <w:rFonts w:hint="eastAsia"/>
          <w:color w:val="000000" w:themeColor="text1"/>
        </w:rPr>
        <w:t>7.1.2 在存放区域周围应设置明显的安全标识，如 “危险 - 燃料电池电站设备存放区”“禁止烟火” 等标识。这些标识要符合相关安全标准，颜色鲜明，易于识别。</w:t>
      </w:r>
    </w:p>
    <w:p w14:paraId="27DB5B8C" w14:textId="77777777" w:rsidR="001251E8" w:rsidRDefault="00000000">
      <w:pPr>
        <w:pStyle w:val="afffff5"/>
        <w:ind w:firstLineChars="0" w:firstLine="0"/>
        <w:outlineLvl w:val="2"/>
        <w:rPr>
          <w:color w:val="000000" w:themeColor="text1"/>
        </w:rPr>
      </w:pPr>
      <w:r>
        <w:rPr>
          <w:rFonts w:hint="eastAsia"/>
          <w:color w:val="000000" w:themeColor="text1"/>
        </w:rPr>
        <w:t>7.1.3 对存放区域进行隔离，防止未经授权的人员进入。可以使用围栏、警戒线等方式进行隔离，并且设置门锁，只有经过培训的工作人员才能进入。</w:t>
      </w:r>
    </w:p>
    <w:p w14:paraId="2553CC79" w14:textId="77777777" w:rsidR="001251E8" w:rsidRDefault="00000000">
      <w:pPr>
        <w:pStyle w:val="afffff5"/>
        <w:ind w:firstLineChars="0" w:firstLine="0"/>
        <w:outlineLvl w:val="2"/>
        <w:rPr>
          <w:color w:val="000000" w:themeColor="text1"/>
        </w:rPr>
      </w:pPr>
      <w:r>
        <w:rPr>
          <w:rFonts w:hint="eastAsia"/>
          <w:color w:val="000000" w:themeColor="text1"/>
        </w:rPr>
        <w:lastRenderedPageBreak/>
        <w:t>7.1.4 存放区域要配备合适的消防设备，如灭火器、灭火砂等。</w:t>
      </w:r>
    </w:p>
    <w:p w14:paraId="1AD803CB" w14:textId="77777777" w:rsidR="001251E8" w:rsidRDefault="00000000">
      <w:pPr>
        <w:pStyle w:val="afffff5"/>
        <w:ind w:firstLineChars="0" w:firstLine="0"/>
        <w:outlineLvl w:val="2"/>
        <w:rPr>
          <w:color w:val="000000" w:themeColor="text1"/>
        </w:rPr>
      </w:pPr>
      <w:r>
        <w:rPr>
          <w:rFonts w:hint="eastAsia"/>
          <w:color w:val="000000" w:themeColor="text1"/>
        </w:rPr>
        <w:t>7.1.5 应设置应急照明设备，确保在停电等紧急情况下能够提供足够的照明，方便工作人员进行应急操作，如紧急关闭阀门、疏散等。应急照明设备的供电时间应满足一定要求，例如，能够持续供电 30 分钟以上。</w:t>
      </w:r>
    </w:p>
    <w:p w14:paraId="6C16414F" w14:textId="77777777" w:rsidR="001251E8" w:rsidRDefault="00000000">
      <w:pPr>
        <w:pStyle w:val="afffff5"/>
        <w:ind w:firstLineChars="0" w:firstLine="0"/>
        <w:outlineLvl w:val="2"/>
        <w:rPr>
          <w:rFonts w:ascii="Segoe UI" w:hAnsi="Segoe UI" w:cs="Segoe UI"/>
          <w:color w:val="000000" w:themeColor="text1"/>
          <w:sz w:val="19"/>
          <w:szCs w:val="19"/>
          <w:shd w:val="clear" w:color="auto" w:fill="FFFFFF"/>
        </w:rPr>
      </w:pPr>
      <w:r>
        <w:rPr>
          <w:rFonts w:hint="eastAsia"/>
          <w:color w:val="000000" w:themeColor="text1"/>
        </w:rPr>
        <w:t>7.1.6 建立监控系统，对存放区域的温度、湿度、氢气浓度等参数进行实时监测。可以通过传感器将数据传输到监控中心，一旦参数出现异常，能够及时发出警报。</w:t>
      </w:r>
    </w:p>
    <w:p w14:paraId="2CD4673D" w14:textId="77777777" w:rsidR="001251E8" w:rsidRDefault="00000000">
      <w:pPr>
        <w:pStyle w:val="affd"/>
        <w:spacing w:before="120" w:after="120"/>
        <w:rPr>
          <w:color w:val="000000" w:themeColor="text1"/>
        </w:rPr>
      </w:pPr>
      <w:r>
        <w:rPr>
          <w:rFonts w:hint="eastAsia"/>
          <w:color w:val="000000" w:themeColor="text1"/>
        </w:rPr>
        <w:t>长期存放</w:t>
      </w:r>
    </w:p>
    <w:p w14:paraId="6B896C98" w14:textId="77777777" w:rsidR="001251E8" w:rsidRDefault="00000000">
      <w:pPr>
        <w:pStyle w:val="afffff5"/>
        <w:ind w:firstLineChars="0" w:firstLine="0"/>
        <w:outlineLvl w:val="2"/>
        <w:rPr>
          <w:color w:val="000000" w:themeColor="text1"/>
        </w:rPr>
      </w:pPr>
      <w:r>
        <w:rPr>
          <w:rFonts w:hint="eastAsia"/>
          <w:color w:val="000000" w:themeColor="text1"/>
        </w:rPr>
        <w:t>7.2.1 存放场所需保持高度清洁，无灰尘、无腐蚀性气体和其他污染物。</w:t>
      </w:r>
    </w:p>
    <w:p w14:paraId="1217F078" w14:textId="77777777" w:rsidR="001251E8" w:rsidRDefault="00000000">
      <w:pPr>
        <w:pStyle w:val="afffff5"/>
        <w:ind w:firstLineChars="0" w:firstLine="0"/>
        <w:outlineLvl w:val="2"/>
        <w:rPr>
          <w:color w:val="000000" w:themeColor="text1"/>
        </w:rPr>
      </w:pPr>
      <w:r>
        <w:rPr>
          <w:rFonts w:hint="eastAsia"/>
          <w:color w:val="000000" w:themeColor="text1"/>
        </w:rPr>
        <w:t>7.2.2 应存放在温度和湿度相对稳定的环境中，通常温度保持在 10℃-30℃，湿度在 40%-60% 较为适宜。</w:t>
      </w:r>
    </w:p>
    <w:p w14:paraId="3B70D8C7" w14:textId="77777777" w:rsidR="001251E8" w:rsidRDefault="00000000">
      <w:pPr>
        <w:pStyle w:val="afffff5"/>
        <w:ind w:firstLineChars="0" w:firstLine="0"/>
        <w:outlineLvl w:val="2"/>
        <w:rPr>
          <w:color w:val="000000" w:themeColor="text1"/>
        </w:rPr>
      </w:pPr>
      <w:r>
        <w:rPr>
          <w:rFonts w:hint="eastAsia"/>
          <w:color w:val="000000" w:themeColor="text1"/>
        </w:rPr>
        <w:t>7.2.3 电站存放区域应远离火源和易燃物，配备防火设施和防爆措施，如灭火器、防火门、防爆电器等</w:t>
      </w:r>
    </w:p>
    <w:p w14:paraId="73391212" w14:textId="77777777" w:rsidR="001251E8" w:rsidRDefault="00000000">
      <w:pPr>
        <w:pStyle w:val="afffff5"/>
        <w:ind w:firstLineChars="0" w:firstLine="0"/>
        <w:outlineLvl w:val="2"/>
        <w:rPr>
          <w:color w:val="000000" w:themeColor="text1"/>
        </w:rPr>
      </w:pPr>
      <w:r>
        <w:rPr>
          <w:rFonts w:hint="eastAsia"/>
          <w:color w:val="000000" w:themeColor="text1"/>
        </w:rPr>
        <w:t>7.2.4 提供良好的通风环境，一般要求通风量不低于每小时 6 次换气次数。</w:t>
      </w:r>
    </w:p>
    <w:p w14:paraId="6F773D30" w14:textId="77777777" w:rsidR="001251E8" w:rsidRDefault="00000000">
      <w:pPr>
        <w:pStyle w:val="afffff5"/>
        <w:ind w:firstLineChars="0" w:firstLine="0"/>
        <w:outlineLvl w:val="2"/>
        <w:rPr>
          <w:color w:val="000000" w:themeColor="text1"/>
        </w:rPr>
      </w:pPr>
      <w:r>
        <w:rPr>
          <w:rFonts w:hint="eastAsia"/>
          <w:color w:val="000000" w:themeColor="text1"/>
        </w:rPr>
        <w:t>7.2.5 制定定期检查计划，对存放的电站进行外观检查、性能测试和安全评估，及时发现并处理潜在问题。</w:t>
      </w:r>
    </w:p>
    <w:p w14:paraId="4C7355FE" w14:textId="77777777" w:rsidR="001251E8" w:rsidRDefault="00000000">
      <w:pPr>
        <w:pStyle w:val="afffff5"/>
        <w:ind w:firstLineChars="0" w:firstLine="0"/>
        <w:outlineLvl w:val="2"/>
        <w:rPr>
          <w:color w:val="000000" w:themeColor="text1"/>
        </w:rPr>
      </w:pPr>
      <w:r>
        <w:rPr>
          <w:rFonts w:hint="eastAsia"/>
          <w:color w:val="000000" w:themeColor="text1"/>
        </w:rPr>
        <w:t>7.2.6 根据检查结果和设备制造商的建议，进行必要的维护保养工作。</w:t>
      </w:r>
    </w:p>
    <w:p w14:paraId="7FB6DF57" w14:textId="77777777" w:rsidR="001251E8" w:rsidRDefault="00000000">
      <w:pPr>
        <w:pStyle w:val="afffff5"/>
        <w:ind w:firstLineChars="0" w:firstLine="0"/>
        <w:outlineLvl w:val="2"/>
        <w:rPr>
          <w:color w:val="000000" w:themeColor="text1"/>
        </w:rPr>
      </w:pPr>
      <w:r>
        <w:rPr>
          <w:rFonts w:hint="eastAsia"/>
          <w:color w:val="000000" w:themeColor="text1"/>
        </w:rPr>
        <w:t>7.2.7 建议每3个月进行一次电站的启动运行，可在低功率工况下运行30分钟左右。</w:t>
      </w:r>
    </w:p>
    <w:p w14:paraId="25A3064A" w14:textId="77777777" w:rsidR="001251E8" w:rsidRDefault="00000000">
      <w:pPr>
        <w:pStyle w:val="affc"/>
        <w:spacing w:before="240" w:after="240"/>
        <w:rPr>
          <w:color w:val="000000" w:themeColor="text1"/>
          <w:szCs w:val="21"/>
        </w:rPr>
      </w:pPr>
      <w:r>
        <w:rPr>
          <w:rFonts w:hint="eastAsia"/>
          <w:color w:val="000000" w:themeColor="text1"/>
          <w:szCs w:val="21"/>
        </w:rPr>
        <w:t>意外事故的处理预案与培训</w:t>
      </w:r>
    </w:p>
    <w:p w14:paraId="7A351E1F" w14:textId="77777777" w:rsidR="001251E8" w:rsidRDefault="00000000">
      <w:pPr>
        <w:pStyle w:val="afffff5"/>
        <w:ind w:firstLineChars="0" w:firstLine="0"/>
        <w:outlineLvl w:val="2"/>
        <w:rPr>
          <w:color w:val="000000" w:themeColor="text1"/>
        </w:rPr>
      </w:pPr>
      <w:r>
        <w:rPr>
          <w:rFonts w:hint="eastAsia"/>
          <w:color w:val="000000" w:themeColor="text1"/>
        </w:rPr>
        <w:t>8.</w:t>
      </w:r>
      <w:r>
        <w:rPr>
          <w:color w:val="000000" w:themeColor="text1"/>
        </w:rPr>
        <w:t xml:space="preserve">1 </w:t>
      </w:r>
      <w:r>
        <w:rPr>
          <w:rFonts w:hint="eastAsia"/>
          <w:color w:val="000000" w:themeColor="text1"/>
        </w:rPr>
        <w:t>承担示范运行的单位应对电站氢系统管路故障</w:t>
      </w:r>
      <w:r>
        <w:rPr>
          <w:color w:val="000000" w:themeColor="text1"/>
        </w:rPr>
        <w:t xml:space="preserve">、电气故障、机械故障、火情、碰撞等意外紧急 事故制定详细的处理预案。 </w:t>
      </w:r>
    </w:p>
    <w:p w14:paraId="62D171E9" w14:textId="77777777" w:rsidR="001251E8" w:rsidRDefault="00000000">
      <w:pPr>
        <w:pStyle w:val="afffff5"/>
        <w:ind w:firstLineChars="0" w:firstLine="0"/>
        <w:outlineLvl w:val="2"/>
        <w:rPr>
          <w:color w:val="000000" w:themeColor="text1"/>
        </w:rPr>
      </w:pPr>
      <w:r>
        <w:rPr>
          <w:rFonts w:hint="eastAsia"/>
          <w:color w:val="000000" w:themeColor="text1"/>
        </w:rPr>
        <w:t>8</w:t>
      </w:r>
      <w:r>
        <w:rPr>
          <w:color w:val="000000" w:themeColor="text1"/>
        </w:rPr>
        <w:t xml:space="preserve">.2 承担示范运行的单位应组织参加示范运行的全体人员,按事故处理预案学习意外事故的处理,并 </w:t>
      </w:r>
    </w:p>
    <w:p w14:paraId="180BF228" w14:textId="77777777" w:rsidR="001251E8" w:rsidRDefault="00000000">
      <w:pPr>
        <w:pStyle w:val="afffff5"/>
        <w:ind w:firstLineChars="0" w:firstLine="0"/>
        <w:outlineLvl w:val="2"/>
        <w:rPr>
          <w:color w:val="000000" w:themeColor="text1"/>
        </w:rPr>
      </w:pPr>
      <w:r>
        <w:rPr>
          <w:color w:val="000000" w:themeColor="text1"/>
        </w:rPr>
        <w:t xml:space="preserve">进行必要的演练。 </w:t>
      </w:r>
    </w:p>
    <w:p w14:paraId="1D559B56" w14:textId="77777777" w:rsidR="001251E8" w:rsidRDefault="00000000">
      <w:pPr>
        <w:pStyle w:val="afffff5"/>
        <w:ind w:firstLineChars="0" w:firstLine="0"/>
        <w:outlineLvl w:val="2"/>
      </w:pPr>
      <w:r>
        <w:rPr>
          <w:rFonts w:hint="eastAsia"/>
        </w:rPr>
        <w:t>8</w:t>
      </w:r>
      <w:r>
        <w:t xml:space="preserve">.3 承担示范运行的单位应在示范运行之前与当地的公安、消防、救护、质检等部门取得联系,对将参 </w:t>
      </w:r>
    </w:p>
    <w:p w14:paraId="7834EB8F" w14:textId="77777777" w:rsidR="001251E8" w:rsidRDefault="00000000">
      <w:pPr>
        <w:pStyle w:val="afffff5"/>
        <w:ind w:firstLineChars="0" w:firstLine="0"/>
        <w:outlineLvl w:val="2"/>
      </w:pPr>
      <w:r>
        <w:t>与营救的人员进行</w:t>
      </w:r>
      <w:r>
        <w:rPr>
          <w:rFonts w:hint="eastAsia"/>
        </w:rPr>
        <w:t>电站</w:t>
      </w:r>
      <w:r>
        <w:t>和氢系统的安全和事故营救处理的专门培训。</w:t>
      </w:r>
    </w:p>
    <w:p w14:paraId="213DCB6E" w14:textId="77777777" w:rsidR="001251E8" w:rsidRDefault="001251E8">
      <w:pPr>
        <w:pStyle w:val="afffff5"/>
        <w:ind w:firstLine="420"/>
      </w:pPr>
    </w:p>
    <w:p w14:paraId="5AB205D0" w14:textId="77777777" w:rsidR="001251E8" w:rsidRDefault="001251E8">
      <w:pPr>
        <w:pStyle w:val="afffff5"/>
        <w:ind w:firstLine="420"/>
      </w:pPr>
    </w:p>
    <w:p w14:paraId="7A95E802" w14:textId="77777777" w:rsidR="001251E8" w:rsidRDefault="001251E8">
      <w:pPr>
        <w:pStyle w:val="afffff5"/>
        <w:ind w:firstLine="420"/>
      </w:pPr>
    </w:p>
    <w:p w14:paraId="63F280B2" w14:textId="77777777" w:rsidR="001251E8" w:rsidRDefault="001251E8">
      <w:pPr>
        <w:pStyle w:val="afffff5"/>
        <w:ind w:firstLine="420"/>
      </w:pPr>
    </w:p>
    <w:p w14:paraId="69402320" w14:textId="77777777" w:rsidR="001251E8" w:rsidRDefault="001251E8">
      <w:pPr>
        <w:pStyle w:val="afffff5"/>
        <w:ind w:firstLine="420"/>
      </w:pPr>
    </w:p>
    <w:p w14:paraId="5C906322" w14:textId="77777777" w:rsidR="001251E8" w:rsidRDefault="00000000">
      <w:pPr>
        <w:pStyle w:val="afffff5"/>
        <w:ind w:firstLineChars="0" w:firstLine="0"/>
        <w:jc w:val="center"/>
      </w:pPr>
      <w:bookmarkStart w:id="49" w:name="BookMark8"/>
      <w:bookmarkEnd w:id="23"/>
      <w:r>
        <w:rPr>
          <w:rFonts w:hint="eastAsia"/>
          <w:noProof/>
        </w:rPr>
        <w:drawing>
          <wp:inline distT="0" distB="0" distL="0" distR="0" wp14:anchorId="60493917" wp14:editId="74201E44">
            <wp:extent cx="1485900" cy="317500"/>
            <wp:effectExtent l="0" t="0" r="0" b="6350"/>
            <wp:docPr id="2026642519" name="图片 1"/>
            <wp:cNvGraphicFramePr/>
            <a:graphic xmlns:a="http://schemas.openxmlformats.org/drawingml/2006/main">
              <a:graphicData uri="http://schemas.openxmlformats.org/drawingml/2006/picture">
                <pic:pic xmlns:pic="http://schemas.openxmlformats.org/drawingml/2006/picture">
                  <pic:nvPicPr>
                    <pic:cNvPr id="2026642519"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1251E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555FE" w14:textId="77777777" w:rsidR="00420C02" w:rsidRDefault="00420C02">
      <w:pPr>
        <w:spacing w:line="240" w:lineRule="auto"/>
      </w:pPr>
      <w:r>
        <w:separator/>
      </w:r>
    </w:p>
  </w:endnote>
  <w:endnote w:type="continuationSeparator" w:id="0">
    <w:p w14:paraId="77C4B12A" w14:textId="77777777" w:rsidR="00420C02" w:rsidRDefault="00420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E853" w14:textId="77777777" w:rsidR="001251E8"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67F50" w14:textId="77777777" w:rsidR="001251E8" w:rsidRDefault="001251E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3E624" w14:textId="77777777" w:rsidR="001251E8" w:rsidRDefault="001251E8">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B9A68" w14:textId="77777777" w:rsidR="001251E8"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710EC" w14:textId="77777777" w:rsidR="00420C02" w:rsidRDefault="00420C02">
      <w:pPr>
        <w:spacing w:line="240" w:lineRule="auto"/>
      </w:pPr>
      <w:r>
        <w:separator/>
      </w:r>
    </w:p>
  </w:footnote>
  <w:footnote w:type="continuationSeparator" w:id="0">
    <w:p w14:paraId="784BBC2F" w14:textId="77777777" w:rsidR="00420C02" w:rsidRDefault="00420C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9333B" w14:textId="77777777" w:rsidR="001251E8" w:rsidRDefault="001251E8">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C3936" w14:textId="77777777" w:rsidR="001251E8"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759BA" w14:textId="77777777" w:rsidR="001251E8" w:rsidRDefault="001251E8">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EE801" w14:textId="77777777" w:rsidR="001251E8"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DB3E6" w14:textId="7781215D" w:rsidR="001251E8" w:rsidRDefault="00000000">
    <w:pPr>
      <w:pStyle w:val="afffffa"/>
      <w:rPr>
        <w:rFonts w:hint="eastAsia"/>
      </w:rPr>
    </w:pPr>
    <w:r>
      <w:fldChar w:fldCharType="begin"/>
    </w:r>
    <w:r>
      <w:instrText xml:space="preserve"> STYLEREF  标准文件_文件编号  \* MERGEFORMAT </w:instrText>
    </w:r>
    <w:r>
      <w:fldChar w:fldCharType="separate"/>
    </w:r>
    <w:r w:rsidR="00F802C9">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A408F64"/>
    <w:multiLevelType w:val="singleLevel"/>
    <w:tmpl w:val="3A408F64"/>
    <w:lvl w:ilvl="0">
      <w:start w:val="1"/>
      <w:numFmt w:val="decimal"/>
      <w:suff w:val="nothing"/>
      <w:lvlText w:val="（%1）"/>
      <w:lvlJc w:val="left"/>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96774510">
    <w:abstractNumId w:val="0"/>
  </w:num>
  <w:num w:numId="2" w16cid:durableId="1695228500">
    <w:abstractNumId w:val="28"/>
  </w:num>
  <w:num w:numId="3" w16cid:durableId="162208477">
    <w:abstractNumId w:val="5"/>
  </w:num>
  <w:num w:numId="4" w16cid:durableId="1269435539">
    <w:abstractNumId w:val="24"/>
  </w:num>
  <w:num w:numId="5" w16cid:durableId="817720844">
    <w:abstractNumId w:val="19"/>
  </w:num>
  <w:num w:numId="6" w16cid:durableId="1537159351">
    <w:abstractNumId w:val="14"/>
  </w:num>
  <w:num w:numId="7" w16cid:durableId="1198661511">
    <w:abstractNumId w:val="8"/>
  </w:num>
  <w:num w:numId="8" w16cid:durableId="1637638025">
    <w:abstractNumId w:val="3"/>
  </w:num>
  <w:num w:numId="9" w16cid:durableId="277756701">
    <w:abstractNumId w:val="9"/>
  </w:num>
  <w:num w:numId="10" w16cid:durableId="765224732">
    <w:abstractNumId w:val="17"/>
  </w:num>
  <w:num w:numId="11" w16cid:durableId="1342046484">
    <w:abstractNumId w:val="26"/>
  </w:num>
  <w:num w:numId="12" w16cid:durableId="1951083809">
    <w:abstractNumId w:val="11"/>
  </w:num>
  <w:num w:numId="13" w16cid:durableId="1360163921">
    <w:abstractNumId w:val="13"/>
  </w:num>
  <w:num w:numId="14" w16cid:durableId="820076312">
    <w:abstractNumId w:val="7"/>
  </w:num>
  <w:num w:numId="15" w16cid:durableId="1739357727">
    <w:abstractNumId w:val="20"/>
  </w:num>
  <w:num w:numId="16" w16cid:durableId="2086804306">
    <w:abstractNumId w:val="22"/>
  </w:num>
  <w:num w:numId="17" w16cid:durableId="1219780934">
    <w:abstractNumId w:val="18"/>
  </w:num>
  <w:num w:numId="18" w16cid:durableId="1889417191">
    <w:abstractNumId w:val="30"/>
  </w:num>
  <w:num w:numId="19" w16cid:durableId="2017807033">
    <w:abstractNumId w:val="16"/>
  </w:num>
  <w:num w:numId="20" w16cid:durableId="1230727657">
    <w:abstractNumId w:val="1"/>
  </w:num>
  <w:num w:numId="21" w16cid:durableId="1662849494">
    <w:abstractNumId w:val="10"/>
  </w:num>
  <w:num w:numId="22" w16cid:durableId="886456553">
    <w:abstractNumId w:val="31"/>
  </w:num>
  <w:num w:numId="23" w16cid:durableId="43408559">
    <w:abstractNumId w:val="21"/>
  </w:num>
  <w:num w:numId="24" w16cid:durableId="989402898">
    <w:abstractNumId w:val="6"/>
  </w:num>
  <w:num w:numId="25" w16cid:durableId="1401755690">
    <w:abstractNumId w:val="27"/>
  </w:num>
  <w:num w:numId="26" w16cid:durableId="1046679314">
    <w:abstractNumId w:val="29"/>
  </w:num>
  <w:num w:numId="27" w16cid:durableId="1316108321">
    <w:abstractNumId w:val="2"/>
  </w:num>
  <w:num w:numId="28" w16cid:durableId="200748646">
    <w:abstractNumId w:val="4"/>
  </w:num>
  <w:num w:numId="29" w16cid:durableId="1854806691">
    <w:abstractNumId w:val="15"/>
  </w:num>
  <w:num w:numId="30" w16cid:durableId="1615406974">
    <w:abstractNumId w:val="25"/>
  </w:num>
  <w:num w:numId="31" w16cid:durableId="205027206">
    <w:abstractNumId w:val="23"/>
  </w:num>
  <w:num w:numId="32" w16cid:durableId="20131378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ttachedTemplate r:id="rId1"/>
  <w:documentProtection w:edit="forms" w:enforcement="1" w:cryptProviderType="rsaAES" w:cryptAlgorithmClass="hash" w:cryptAlgorithmType="typeAny" w:cryptAlgorithmSid="14" w:cryptSpinCount="100000" w:hash="CtSnNdf8Gb4OJpug6BQ2J8lrEHxyXS5lWjX2ZEXI/A0Ld5ngd6ppjg1x9FQGq8WcS6QaH1kzA4DioQ7qSR0V3Q==" w:salt="FV6dmbfWdV2L0UjBP6jZS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67F"/>
    <w:rsid w:val="0000040A"/>
    <w:rsid w:val="00000A94"/>
    <w:rsid w:val="00001972"/>
    <w:rsid w:val="00001CB1"/>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58C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6E34"/>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51E8"/>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2E4"/>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766"/>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4D7"/>
    <w:rsid w:val="002F30E0"/>
    <w:rsid w:val="002F35E4"/>
    <w:rsid w:val="002F3730"/>
    <w:rsid w:val="002F38E1"/>
    <w:rsid w:val="002F7AF6"/>
    <w:rsid w:val="002F7B0C"/>
    <w:rsid w:val="00300E63"/>
    <w:rsid w:val="00302F5F"/>
    <w:rsid w:val="0030441D"/>
    <w:rsid w:val="00306063"/>
    <w:rsid w:val="00313B85"/>
    <w:rsid w:val="00317988"/>
    <w:rsid w:val="003221B4"/>
    <w:rsid w:val="0032258D"/>
    <w:rsid w:val="00322E62"/>
    <w:rsid w:val="00324D13"/>
    <w:rsid w:val="00324EDD"/>
    <w:rsid w:val="003251C6"/>
    <w:rsid w:val="00331588"/>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C02"/>
    <w:rsid w:val="00432DAA"/>
    <w:rsid w:val="00434305"/>
    <w:rsid w:val="00435DF7"/>
    <w:rsid w:val="0043741A"/>
    <w:rsid w:val="0044083F"/>
    <w:rsid w:val="00441AE7"/>
    <w:rsid w:val="00445574"/>
    <w:rsid w:val="004467FB"/>
    <w:rsid w:val="00452D6B"/>
    <w:rsid w:val="00454484"/>
    <w:rsid w:val="0045517B"/>
    <w:rsid w:val="00462E5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531"/>
    <w:rsid w:val="00555044"/>
    <w:rsid w:val="00561475"/>
    <w:rsid w:val="00562308"/>
    <w:rsid w:val="0056487B"/>
    <w:rsid w:val="00564FB9"/>
    <w:rsid w:val="00573D9E"/>
    <w:rsid w:val="005801E3"/>
    <w:rsid w:val="00581802"/>
    <w:rsid w:val="005836A8"/>
    <w:rsid w:val="0058409C"/>
    <w:rsid w:val="00584262"/>
    <w:rsid w:val="00585768"/>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297"/>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C1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0AC"/>
    <w:rsid w:val="007E0BF1"/>
    <w:rsid w:val="007E11B8"/>
    <w:rsid w:val="007F0ED8"/>
    <w:rsid w:val="007F0F63"/>
    <w:rsid w:val="007F75CE"/>
    <w:rsid w:val="008013A4"/>
    <w:rsid w:val="008027CE"/>
    <w:rsid w:val="00802F42"/>
    <w:rsid w:val="00803304"/>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C7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35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FD1"/>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77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0D7"/>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90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2C54"/>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9FB"/>
    <w:rsid w:val="00B758BF"/>
    <w:rsid w:val="00B77EC8"/>
    <w:rsid w:val="00B77F5C"/>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6DDE"/>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481"/>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CBD"/>
    <w:rsid w:val="00CC5233"/>
    <w:rsid w:val="00CC5DE6"/>
    <w:rsid w:val="00CC6E4E"/>
    <w:rsid w:val="00CC6FE8"/>
    <w:rsid w:val="00CC7202"/>
    <w:rsid w:val="00CD2808"/>
    <w:rsid w:val="00CD28BF"/>
    <w:rsid w:val="00CD2BD1"/>
    <w:rsid w:val="00CD4092"/>
    <w:rsid w:val="00CD4A20"/>
    <w:rsid w:val="00CD50A1"/>
    <w:rsid w:val="00CD519E"/>
    <w:rsid w:val="00CD733B"/>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A35"/>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D9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933"/>
    <w:rsid w:val="00EE0350"/>
    <w:rsid w:val="00EE0719"/>
    <w:rsid w:val="00EE0E80"/>
    <w:rsid w:val="00EE613F"/>
    <w:rsid w:val="00EE7295"/>
    <w:rsid w:val="00EE7869"/>
    <w:rsid w:val="00EF054A"/>
    <w:rsid w:val="00EF3235"/>
    <w:rsid w:val="00EF7E72"/>
    <w:rsid w:val="00F06D37"/>
    <w:rsid w:val="00F07B9D"/>
    <w:rsid w:val="00F1032A"/>
    <w:rsid w:val="00F11586"/>
    <w:rsid w:val="00F1183B"/>
    <w:rsid w:val="00F11C9F"/>
    <w:rsid w:val="00F12263"/>
    <w:rsid w:val="00F1409D"/>
    <w:rsid w:val="00F14214"/>
    <w:rsid w:val="00F157A9"/>
    <w:rsid w:val="00F16F00"/>
    <w:rsid w:val="00F1762E"/>
    <w:rsid w:val="00F25BB6"/>
    <w:rsid w:val="00F26B7E"/>
    <w:rsid w:val="00F27A3B"/>
    <w:rsid w:val="00F32780"/>
    <w:rsid w:val="00F33817"/>
    <w:rsid w:val="00F420D5"/>
    <w:rsid w:val="00F43CF3"/>
    <w:rsid w:val="00F451EA"/>
    <w:rsid w:val="00F45447"/>
    <w:rsid w:val="00F456C6"/>
    <w:rsid w:val="00F4577B"/>
    <w:rsid w:val="00F46496"/>
    <w:rsid w:val="00F474D0"/>
    <w:rsid w:val="00F50179"/>
    <w:rsid w:val="00F515EE"/>
    <w:rsid w:val="00F54047"/>
    <w:rsid w:val="00F56511"/>
    <w:rsid w:val="00F6194E"/>
    <w:rsid w:val="00F623AC"/>
    <w:rsid w:val="00F6323E"/>
    <w:rsid w:val="00F6412A"/>
    <w:rsid w:val="00F65893"/>
    <w:rsid w:val="00F66A4A"/>
    <w:rsid w:val="00F71E22"/>
    <w:rsid w:val="00F72142"/>
    <w:rsid w:val="00F72AE7"/>
    <w:rsid w:val="00F802C9"/>
    <w:rsid w:val="00F833BA"/>
    <w:rsid w:val="00F84FD0"/>
    <w:rsid w:val="00F859A8"/>
    <w:rsid w:val="00F86D87"/>
    <w:rsid w:val="00F9108B"/>
    <w:rsid w:val="00F91349"/>
    <w:rsid w:val="00F9228E"/>
    <w:rsid w:val="00F93A8A"/>
    <w:rsid w:val="00F95248"/>
    <w:rsid w:val="00F956A9"/>
    <w:rsid w:val="00F963ED"/>
    <w:rsid w:val="00F966CF"/>
    <w:rsid w:val="00F96CAE"/>
    <w:rsid w:val="00F97C99"/>
    <w:rsid w:val="00FA167F"/>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864477"/>
    <w:rsid w:val="16BC18B3"/>
    <w:rsid w:val="23142665"/>
    <w:rsid w:val="2D3F6E64"/>
    <w:rsid w:val="44A90552"/>
    <w:rsid w:val="46E2459B"/>
    <w:rsid w:val="678E265F"/>
    <w:rsid w:val="6EB16723"/>
    <w:rsid w:val="72FD1187"/>
    <w:rsid w:val="7CC81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F77EBD2"/>
  <w15:docId w15:val="{26F8E41C-E0BA-4FF5-A638-0DB3D6A9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前言、引言标题"/>
    <w:next w:val="afff5"/>
    <w:qFormat/>
    <w:pPr>
      <w:keepNext/>
      <w:pageBreakBefore/>
      <w:shd w:val="clear" w:color="FFFFFF" w:fill="FFFFFF"/>
      <w:spacing w:before="640" w:after="56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0BE3CF010584EDDB61433260ECAB924"/>
        <w:category>
          <w:name w:val="常规"/>
          <w:gallery w:val="placeholder"/>
        </w:category>
        <w:types>
          <w:type w:val="bbPlcHdr"/>
        </w:types>
        <w:behaviors>
          <w:behavior w:val="content"/>
        </w:behaviors>
        <w:guid w:val="{E5D4DCE2-6896-4729-BE0A-060DB7515D6C}"/>
      </w:docPartPr>
      <w:docPartBody>
        <w:p w:rsidR="00C817F4" w:rsidRDefault="00000000">
          <w:pPr>
            <w:pStyle w:val="F0BE3CF010584EDDB61433260ECAB924"/>
            <w:rPr>
              <w:rFonts w:hint="eastAsia"/>
            </w:rPr>
          </w:pPr>
          <w:r>
            <w:rPr>
              <w:rStyle w:val="a3"/>
              <w:rFonts w:hint="eastAsia"/>
            </w:rPr>
            <w:t>单击或点击此处输入文字。</w:t>
          </w:r>
        </w:p>
      </w:docPartBody>
    </w:docPart>
    <w:docPart>
      <w:docPartPr>
        <w:name w:val="A5E9E59DB55544979E7CD8980585C1C5"/>
        <w:category>
          <w:name w:val="常规"/>
          <w:gallery w:val="placeholder"/>
        </w:category>
        <w:types>
          <w:type w:val="bbPlcHdr"/>
        </w:types>
        <w:behaviors>
          <w:behavior w:val="content"/>
        </w:behaviors>
        <w:guid w:val="{4EE585E4-4072-411A-AD24-F983F5CD070A}"/>
      </w:docPartPr>
      <w:docPartBody>
        <w:p w:rsidR="00C817F4" w:rsidRDefault="00000000">
          <w:pPr>
            <w:pStyle w:val="A5E9E59DB55544979E7CD8980585C1C5"/>
            <w:rPr>
              <w:rFonts w:hint="eastAsia"/>
            </w:rPr>
          </w:pPr>
          <w:r>
            <w:rPr>
              <w:rStyle w:val="a3"/>
              <w:rFonts w:hint="eastAsia"/>
            </w:rPr>
            <w:t>选择一项。</w:t>
          </w:r>
        </w:p>
      </w:docPartBody>
    </w:docPart>
    <w:docPart>
      <w:docPartPr>
        <w:name w:val="A0C133A906E046D9A3D46993B65CD75C"/>
        <w:category>
          <w:name w:val="常规"/>
          <w:gallery w:val="placeholder"/>
        </w:category>
        <w:types>
          <w:type w:val="bbPlcHdr"/>
        </w:types>
        <w:behaviors>
          <w:behavior w:val="content"/>
        </w:behaviors>
        <w:guid w:val="{EA5A7DB1-778F-4709-906F-1B365294A675}"/>
      </w:docPartPr>
      <w:docPartBody>
        <w:p w:rsidR="00C817F4" w:rsidRDefault="00000000">
          <w:pPr>
            <w:pStyle w:val="A0C133A906E046D9A3D46993B65CD75C"/>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9656E" w:rsidRDefault="0069656E">
      <w:pPr>
        <w:spacing w:line="240" w:lineRule="auto"/>
        <w:rPr>
          <w:rFonts w:hint="eastAsia"/>
        </w:rPr>
      </w:pPr>
      <w:r>
        <w:separator/>
      </w:r>
    </w:p>
  </w:endnote>
  <w:endnote w:type="continuationSeparator" w:id="0">
    <w:p w:rsidR="0069656E" w:rsidRDefault="0069656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9656E" w:rsidRDefault="0069656E">
      <w:pPr>
        <w:spacing w:after="0"/>
        <w:rPr>
          <w:rFonts w:hint="eastAsia"/>
        </w:rPr>
      </w:pPr>
      <w:r>
        <w:separator/>
      </w:r>
    </w:p>
  </w:footnote>
  <w:footnote w:type="continuationSeparator" w:id="0">
    <w:p w:rsidR="0069656E" w:rsidRDefault="0069656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B42"/>
    <w:rsid w:val="003251C6"/>
    <w:rsid w:val="00387B42"/>
    <w:rsid w:val="004E4085"/>
    <w:rsid w:val="00553531"/>
    <w:rsid w:val="0069656E"/>
    <w:rsid w:val="007E11B8"/>
    <w:rsid w:val="008A487C"/>
    <w:rsid w:val="0095188F"/>
    <w:rsid w:val="009F490F"/>
    <w:rsid w:val="00C817F4"/>
    <w:rsid w:val="00EB4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0BE3CF010584EDDB61433260ECAB924">
    <w:name w:val="F0BE3CF010584EDDB61433260ECAB924"/>
    <w:pPr>
      <w:widowControl w:val="0"/>
      <w:spacing w:after="160" w:line="278" w:lineRule="auto"/>
    </w:pPr>
    <w:rPr>
      <w:kern w:val="2"/>
      <w:sz w:val="22"/>
      <w:szCs w:val="24"/>
      <w14:ligatures w14:val="standardContextual"/>
    </w:rPr>
  </w:style>
  <w:style w:type="paragraph" w:customStyle="1" w:styleId="A5E9E59DB55544979E7CD8980585C1C5">
    <w:name w:val="A5E9E59DB55544979E7CD8980585C1C5"/>
    <w:qFormat/>
    <w:pPr>
      <w:widowControl w:val="0"/>
      <w:spacing w:after="160" w:line="278" w:lineRule="auto"/>
    </w:pPr>
    <w:rPr>
      <w:kern w:val="2"/>
      <w:sz w:val="22"/>
      <w:szCs w:val="24"/>
      <w14:ligatures w14:val="standardContextual"/>
    </w:rPr>
  </w:style>
  <w:style w:type="paragraph" w:customStyle="1" w:styleId="A0C133A906E046D9A3D46993B65CD75C">
    <w:name w:val="A0C133A906E046D9A3D46993B65CD75C"/>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50</TotalTime>
  <Pages>6</Pages>
  <Words>710</Words>
  <Characters>4049</Characters>
  <Application>Microsoft Office Word</Application>
  <DocSecurity>0</DocSecurity>
  <Lines>33</Lines>
  <Paragraphs>9</Paragraphs>
  <ScaleCrop>false</ScaleCrop>
  <Company>PCMI</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项目申报专用</dc:creator>
  <dc:description>&lt;config cover="true" show_menu="true" version="1.0.0" doctype="SDKXY"&gt;_x000d_
&lt;/config&gt;</dc:description>
  <cp:lastModifiedBy>怡晔 黄</cp:lastModifiedBy>
  <cp:revision>48</cp:revision>
  <cp:lastPrinted>2021-02-02T08:22:00Z</cp:lastPrinted>
  <dcterms:created xsi:type="dcterms:W3CDTF">2024-12-02T02:17:00Z</dcterms:created>
  <dcterms:modified xsi:type="dcterms:W3CDTF">2024-12-20T01:58:00Z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D725B61CFBEB45F4B62642D7D5DF5C79_12</vt:lpwstr>
  </property>
</Properties>
</file>