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1BF1F5">
      <w:pPr>
        <w:spacing w:line="240" w:lineRule="auto"/>
        <w:ind w:firstLine="0" w:firstLineChars="0"/>
        <w:jc w:val="center"/>
        <w:rPr>
          <w:rFonts w:eastAsia="方正小标宋简体" w:cs="方正小标宋简体"/>
          <w:b/>
          <w:bCs/>
          <w:sz w:val="36"/>
          <w:szCs w:val="36"/>
        </w:rPr>
      </w:pPr>
      <w:bookmarkStart w:id="0" w:name="_GoBack"/>
      <w:bookmarkEnd w:id="0"/>
    </w:p>
    <w:p w14:paraId="633A32B5">
      <w:pPr>
        <w:spacing w:line="240" w:lineRule="auto"/>
        <w:ind w:firstLine="0" w:firstLineChars="0"/>
        <w:rPr>
          <w:rFonts w:eastAsia="方正小标宋简体" w:cs="方正小标宋简体"/>
          <w:b/>
          <w:bCs/>
          <w:sz w:val="36"/>
          <w:szCs w:val="36"/>
        </w:rPr>
      </w:pPr>
    </w:p>
    <w:p w14:paraId="440552CF">
      <w:pPr>
        <w:spacing w:line="240" w:lineRule="auto"/>
        <w:ind w:firstLine="0" w:firstLineChars="0"/>
        <w:jc w:val="center"/>
        <w:rPr>
          <w:rFonts w:eastAsia="方正小标宋简体" w:cs="方正小标宋简体"/>
          <w:b/>
          <w:bCs/>
          <w:sz w:val="36"/>
          <w:szCs w:val="36"/>
        </w:rPr>
      </w:pPr>
    </w:p>
    <w:p w14:paraId="3768C1C0">
      <w:pPr>
        <w:spacing w:line="240" w:lineRule="auto"/>
        <w:ind w:firstLine="0" w:firstLineChars="0"/>
        <w:jc w:val="center"/>
        <w:rPr>
          <w:rFonts w:eastAsia="方正小标宋简体" w:cs="方正小标宋简体"/>
          <w:b/>
          <w:bCs/>
          <w:sz w:val="36"/>
          <w:szCs w:val="36"/>
        </w:rPr>
      </w:pPr>
    </w:p>
    <w:p w14:paraId="7BDF3028">
      <w:pPr>
        <w:spacing w:line="240" w:lineRule="auto"/>
        <w:ind w:firstLine="0" w:firstLineChars="0"/>
        <w:jc w:val="center"/>
        <w:rPr>
          <w:rFonts w:eastAsia="方正小标宋简体" w:cs="方正小标宋简体"/>
          <w:b/>
          <w:bCs/>
          <w:sz w:val="36"/>
          <w:szCs w:val="36"/>
        </w:rPr>
      </w:pPr>
      <w:r>
        <w:rPr>
          <w:rFonts w:hint="eastAsia" w:eastAsia="方正小标宋简体" w:cs="方正小标宋简体"/>
          <w:b/>
          <w:bCs/>
          <w:sz w:val="36"/>
          <w:szCs w:val="36"/>
        </w:rPr>
        <w:t>大连市地方标准</w:t>
      </w:r>
    </w:p>
    <w:p w14:paraId="1847A703">
      <w:pPr>
        <w:spacing w:line="240" w:lineRule="auto"/>
        <w:ind w:firstLine="0" w:firstLineChars="0"/>
        <w:jc w:val="center"/>
        <w:rPr>
          <w:rFonts w:eastAsia="方正小标宋简体" w:cs="方正小标宋简体"/>
          <w:b/>
          <w:bCs/>
          <w:sz w:val="36"/>
          <w:szCs w:val="36"/>
        </w:rPr>
      </w:pPr>
    </w:p>
    <w:p w14:paraId="3642EF17">
      <w:pPr>
        <w:spacing w:line="240" w:lineRule="auto"/>
        <w:ind w:firstLine="0" w:firstLineChars="0"/>
        <w:jc w:val="center"/>
        <w:rPr>
          <w:rFonts w:eastAsia="方正小标宋简体" w:cs="方正小标宋简体"/>
          <w:b/>
          <w:bCs/>
          <w:sz w:val="36"/>
          <w:szCs w:val="36"/>
        </w:rPr>
      </w:pPr>
    </w:p>
    <w:p w14:paraId="21E2EB35">
      <w:pPr>
        <w:spacing w:line="240" w:lineRule="auto"/>
        <w:ind w:firstLine="0" w:firstLineChars="0"/>
        <w:jc w:val="center"/>
        <w:rPr>
          <w:rFonts w:eastAsia="方正小标宋简体" w:cs="方正小标宋简体"/>
          <w:b/>
          <w:bCs/>
          <w:sz w:val="36"/>
          <w:szCs w:val="36"/>
        </w:rPr>
      </w:pPr>
    </w:p>
    <w:p w14:paraId="44EEF42D">
      <w:pPr>
        <w:spacing w:line="240" w:lineRule="auto"/>
        <w:ind w:firstLine="0" w:firstLineChars="0"/>
        <w:jc w:val="center"/>
        <w:rPr>
          <w:rFonts w:eastAsia="方正小标宋简体" w:cs="方正小标宋简体"/>
          <w:b/>
          <w:bCs/>
          <w:sz w:val="36"/>
          <w:szCs w:val="36"/>
        </w:rPr>
      </w:pPr>
    </w:p>
    <w:p w14:paraId="2BE41FCA">
      <w:pPr>
        <w:spacing w:line="240" w:lineRule="auto"/>
        <w:ind w:firstLine="0" w:firstLineChars="0"/>
        <w:jc w:val="center"/>
        <w:rPr>
          <w:rFonts w:eastAsia="方正小标宋简体" w:cs="方正小标宋简体"/>
          <w:b/>
          <w:bCs/>
          <w:sz w:val="36"/>
          <w:szCs w:val="36"/>
        </w:rPr>
      </w:pPr>
      <w:r>
        <w:rPr>
          <w:rFonts w:hint="eastAsia" w:eastAsia="方正小标宋简体" w:cs="方正小标宋简体"/>
          <w:b/>
          <w:bCs/>
          <w:sz w:val="36"/>
          <w:szCs w:val="36"/>
        </w:rPr>
        <w:t>《预制菜企业数字化车间建设与实施指南》</w:t>
      </w:r>
    </w:p>
    <w:p w14:paraId="2D394234">
      <w:pPr>
        <w:spacing w:line="240" w:lineRule="auto"/>
        <w:ind w:firstLine="0" w:firstLineChars="0"/>
        <w:jc w:val="center"/>
        <w:rPr>
          <w:rFonts w:eastAsia="方正小标宋简体" w:cs="方正小标宋简体"/>
          <w:b/>
          <w:bCs/>
          <w:sz w:val="36"/>
          <w:szCs w:val="36"/>
        </w:rPr>
      </w:pPr>
    </w:p>
    <w:p w14:paraId="0438492D">
      <w:pPr>
        <w:spacing w:line="240" w:lineRule="auto"/>
        <w:ind w:firstLine="0" w:firstLineChars="0"/>
        <w:jc w:val="center"/>
        <w:rPr>
          <w:rFonts w:eastAsia="方正小标宋简体" w:cs="方正小标宋简体"/>
          <w:b/>
          <w:bCs/>
          <w:sz w:val="36"/>
          <w:szCs w:val="36"/>
        </w:rPr>
      </w:pPr>
    </w:p>
    <w:p w14:paraId="5FE5D86A">
      <w:pPr>
        <w:spacing w:line="240" w:lineRule="auto"/>
        <w:ind w:firstLine="0" w:firstLineChars="0"/>
        <w:jc w:val="center"/>
        <w:rPr>
          <w:rFonts w:eastAsia="方正小标宋简体" w:cs="方正小标宋简体"/>
          <w:b/>
          <w:bCs/>
          <w:sz w:val="36"/>
          <w:szCs w:val="36"/>
        </w:rPr>
      </w:pPr>
    </w:p>
    <w:p w14:paraId="605CF9BC">
      <w:pPr>
        <w:spacing w:line="240" w:lineRule="auto"/>
        <w:ind w:firstLine="0" w:firstLineChars="0"/>
        <w:jc w:val="center"/>
        <w:rPr>
          <w:rFonts w:eastAsia="方正小标宋简体" w:cs="方正小标宋简体"/>
          <w:b/>
          <w:bCs/>
          <w:sz w:val="36"/>
          <w:szCs w:val="36"/>
        </w:rPr>
      </w:pPr>
    </w:p>
    <w:p w14:paraId="7E3892D3">
      <w:pPr>
        <w:spacing w:line="240" w:lineRule="auto"/>
        <w:ind w:firstLine="0" w:firstLineChars="0"/>
        <w:jc w:val="center"/>
        <w:rPr>
          <w:rFonts w:eastAsia="方正小标宋简体" w:cs="方正小标宋简体"/>
          <w:b/>
          <w:bCs/>
          <w:sz w:val="36"/>
          <w:szCs w:val="36"/>
        </w:rPr>
      </w:pPr>
      <w:r>
        <w:rPr>
          <w:rFonts w:hint="eastAsia" w:eastAsia="方正小标宋简体" w:cs="方正小标宋简体"/>
          <w:b/>
          <w:bCs/>
          <w:sz w:val="36"/>
          <w:szCs w:val="36"/>
        </w:rPr>
        <w:t>编制说明</w:t>
      </w:r>
    </w:p>
    <w:p w14:paraId="5064E1ED">
      <w:pPr>
        <w:widowControl/>
        <w:ind w:firstLine="560"/>
        <w:jc w:val="center"/>
        <w:rPr>
          <w:rFonts w:ascii="宋体" w:hAnsi="宋体" w:eastAsia="宋体" w:cs="宋体"/>
          <w:color w:val="000000"/>
          <w:kern w:val="0"/>
          <w:sz w:val="28"/>
          <w:szCs w:val="28"/>
          <w:lang w:bidi="ar"/>
        </w:rPr>
      </w:pPr>
    </w:p>
    <w:p w14:paraId="17ADEA53">
      <w:pPr>
        <w:widowControl/>
        <w:ind w:firstLine="3240" w:firstLineChars="900"/>
        <w:rPr>
          <w:rFonts w:ascii="方正小标宋简体" w:hAnsi="方正小标宋简体" w:eastAsia="方正小标宋简体" w:cs="方正小标宋简体"/>
          <w:color w:val="000000"/>
          <w:kern w:val="0"/>
          <w:sz w:val="36"/>
          <w:szCs w:val="36"/>
          <w:lang w:bidi="ar"/>
        </w:rPr>
      </w:pPr>
    </w:p>
    <w:p w14:paraId="5DAE4EB7">
      <w:pPr>
        <w:widowControl/>
        <w:ind w:firstLine="3240" w:firstLineChars="900"/>
        <w:rPr>
          <w:rFonts w:ascii="方正小标宋简体" w:hAnsi="方正小标宋简体" w:eastAsia="方正小标宋简体" w:cs="方正小标宋简体"/>
          <w:color w:val="000000"/>
          <w:kern w:val="0"/>
          <w:sz w:val="36"/>
          <w:szCs w:val="36"/>
          <w:lang w:bidi="ar"/>
        </w:rPr>
      </w:pPr>
    </w:p>
    <w:p w14:paraId="545B12F0">
      <w:pPr>
        <w:widowControl/>
        <w:ind w:firstLine="3240" w:firstLineChars="900"/>
        <w:rPr>
          <w:rFonts w:ascii="方正小标宋简体" w:hAnsi="方正小标宋简体" w:eastAsia="方正小标宋简体" w:cs="方正小标宋简体"/>
          <w:color w:val="000000"/>
          <w:kern w:val="0"/>
          <w:sz w:val="36"/>
          <w:szCs w:val="36"/>
          <w:lang w:bidi="ar"/>
        </w:rPr>
      </w:pPr>
      <w:r>
        <w:rPr>
          <w:rFonts w:hint="eastAsia" w:ascii="方正小标宋简体" w:hAnsi="方正小标宋简体" w:eastAsia="方正小标宋简体" w:cs="方正小标宋简体"/>
          <w:color w:val="000000"/>
          <w:kern w:val="0"/>
          <w:sz w:val="36"/>
          <w:szCs w:val="36"/>
          <w:lang w:bidi="ar"/>
        </w:rPr>
        <w:t>标准起草组</w:t>
      </w:r>
    </w:p>
    <w:p w14:paraId="1DDF4276">
      <w:pPr>
        <w:widowControl/>
        <w:ind w:firstLine="560"/>
        <w:jc w:val="center"/>
        <w:rPr>
          <w:rFonts w:ascii="宋体" w:hAnsi="宋体" w:eastAsia="宋体" w:cs="宋体"/>
          <w:color w:val="000000"/>
          <w:kern w:val="0"/>
          <w:sz w:val="28"/>
          <w:szCs w:val="28"/>
          <w:lang w:bidi="ar"/>
        </w:rPr>
      </w:pPr>
    </w:p>
    <w:p w14:paraId="6E221D87">
      <w:pPr>
        <w:spacing w:line="240" w:lineRule="auto"/>
        <w:ind w:firstLine="0" w:firstLineChars="0"/>
        <w:jc w:val="center"/>
        <w:rPr>
          <w:rFonts w:ascii="方正仿宋_GB2312" w:hAnsi="方正仿宋_GB2312" w:eastAsia="方正仿宋_GB2312" w:cs="方正仿宋_GB2312"/>
          <w:b/>
          <w:bCs/>
          <w:sz w:val="36"/>
          <w:szCs w:val="36"/>
        </w:rPr>
      </w:pPr>
      <w:r>
        <w:rPr>
          <w:rFonts w:hint="eastAsia" w:eastAsia="方正小标宋简体" w:cs="方正小标宋简体"/>
          <w:sz w:val="36"/>
          <w:szCs w:val="36"/>
        </w:rPr>
        <w:br w:type="page"/>
      </w:r>
      <w:r>
        <w:rPr>
          <w:rFonts w:hint="eastAsia" w:ascii="方正仿宋_GB2312" w:hAnsi="方正仿宋_GB2312" w:eastAsia="方正仿宋_GB2312" w:cs="方正仿宋_GB2312"/>
          <w:b/>
          <w:bCs/>
          <w:sz w:val="36"/>
          <w:szCs w:val="36"/>
        </w:rPr>
        <w:t>《预制菜企业数字化车间建设与实施指南》</w:t>
      </w:r>
    </w:p>
    <w:p w14:paraId="6769C994">
      <w:pPr>
        <w:spacing w:line="240" w:lineRule="auto"/>
        <w:ind w:firstLine="0" w:firstLineChars="0"/>
        <w:jc w:val="center"/>
        <w:rPr>
          <w:rFonts w:ascii="方正仿宋_GB2312" w:hAnsi="方正仿宋_GB2312" w:eastAsia="方正仿宋_GB2312" w:cs="方正仿宋_GB2312"/>
          <w:b/>
          <w:bCs/>
          <w:sz w:val="36"/>
          <w:szCs w:val="36"/>
        </w:rPr>
      </w:pPr>
      <w:r>
        <w:rPr>
          <w:rFonts w:hint="eastAsia" w:ascii="方正仿宋_GB2312" w:hAnsi="方正仿宋_GB2312" w:eastAsia="方正仿宋_GB2312" w:cs="方正仿宋_GB2312"/>
          <w:b/>
          <w:bCs/>
          <w:sz w:val="36"/>
          <w:szCs w:val="36"/>
        </w:rPr>
        <w:t>编制说明</w:t>
      </w:r>
    </w:p>
    <w:p w14:paraId="7E824EF4">
      <w:pPr>
        <w:numPr>
          <w:ilvl w:val="0"/>
          <w:numId w:val="1"/>
        </w:num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工作简介</w:t>
      </w:r>
    </w:p>
    <w:p w14:paraId="5ADE38C3">
      <w:pPr>
        <w:numPr>
          <w:ilvl w:val="0"/>
          <w:numId w:val="2"/>
        </w:numPr>
        <w:ind w:firstLine="321" w:firstLineChars="100"/>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任务来源</w:t>
      </w:r>
    </w:p>
    <w:p w14:paraId="10BE5797">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本标准依据《大连市市场监督管理局关于下达2024年大连市地方标准立项计划的通知》（大市监（2024）51 号）的要求编制，项目计划编号2024021。本标准由大连市工业和信息化局提出并归口。 </w:t>
      </w:r>
    </w:p>
    <w:p w14:paraId="26754BFC">
      <w:pPr>
        <w:numPr>
          <w:ilvl w:val="0"/>
          <w:numId w:val="2"/>
        </w:numPr>
        <w:ind w:firstLine="321" w:firstLineChars="100"/>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制定标准的必要性和意义</w:t>
      </w:r>
    </w:p>
    <w:p w14:paraId="07AE77E7">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预制菜作为一个新兴产业，如何实现规范健康发展，是社会广泛关注的热点。预制菜是产业趋势，实现预制菜企业智能化改造是未来发展的重点方向。</w:t>
      </w:r>
    </w:p>
    <w:p w14:paraId="4AA3FAB6">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2024年3月21日，市场监管总局等六部门联合发布《关于加强预制菜食品安全监管 促进产业高质量发展的通知》（国市监食生发〔2024〕27号），首次在国家层面明确预制菜范围。同时，鼓励研发食用农产品原料预处理关键设备，加强去皮剥壳、分选分级、清洗切割等预加工装备应用，提升原料智能化、保鲜化处理水平。推广应用适应预制菜发展的加工、包装、仓储、物流等先进设备，提升关键工艺自动化水平和生产流通效率。</w:t>
      </w:r>
    </w:p>
    <w:p w14:paraId="205A0651">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2024年7月27日，大连市海洋发展局、市场监督管理局共同发布了《大连市海鲜预制菜产业标准体系》，提出构建一、二、三产协调融合、产业监管到位、研发与创新支撑的新发展模式，标志着大连市海鲜预制菜产业进入标准化、规范化发展的新阶段。</w:t>
      </w:r>
    </w:p>
    <w:p w14:paraId="4CC5E481">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结合国家及省市相关政策文件，制定本标准的必要性和意义主要包括以下方面:</w:t>
      </w:r>
    </w:p>
    <w:p w14:paraId="6463DA67">
      <w:pPr>
        <w:ind w:firstLine="643"/>
        <w:rPr>
          <w:rFonts w:ascii="方正仿宋_GB2312" w:hAnsi="方正仿宋_GB2312" w:eastAsia="方正仿宋_GB2312" w:cs="方正仿宋_GB2312"/>
          <w:b/>
          <w:szCs w:val="32"/>
        </w:rPr>
      </w:pPr>
      <w:r>
        <w:rPr>
          <w:rFonts w:hint="eastAsia" w:ascii="方正仿宋_GB2312" w:hAnsi="方正仿宋_GB2312" w:eastAsia="方正仿宋_GB2312" w:cs="方正仿宋_GB2312"/>
          <w:b/>
          <w:szCs w:val="32"/>
        </w:rPr>
        <w:t>必要性：</w:t>
      </w:r>
    </w:p>
    <w:p w14:paraId="42C6A255">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1、推动数字化转型的技术落地</w:t>
      </w:r>
    </w:p>
    <w:p w14:paraId="075C524A">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预制菜企业普遍面临生产效率低、成本高等问题，亟需通过数字化技术（如物联网、大数据分析）实现智能化管理。然而，企业对技术应用路径缺乏清晰指导。地方标准可提供技术框架和实施路径，例如供应链协同优化、生产数据实时监控等，推动企业从传统制造向智能制造的转型。</w:t>
      </w:r>
    </w:p>
    <w:p w14:paraId="0AD5F584">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2、适应地方特色与差异化发展需求</w:t>
      </w:r>
    </w:p>
    <w:p w14:paraId="3907ED98">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大连市预制菜产业以海鲜预制菜为主，制定本标准可结合区域产业特点，重点结合海鲜原材料特点选择差异性的智能化设备。</w:t>
      </w:r>
    </w:p>
    <w:p w14:paraId="70713941">
      <w:pPr>
        <w:ind w:firstLine="643"/>
        <w:rPr>
          <w:rFonts w:ascii="方正仿宋_GB2312" w:hAnsi="方正仿宋_GB2312" w:eastAsia="方正仿宋_GB2312" w:cs="方正仿宋_GB2312"/>
          <w:b/>
          <w:szCs w:val="32"/>
        </w:rPr>
      </w:pPr>
      <w:r>
        <w:rPr>
          <w:rFonts w:hint="eastAsia" w:ascii="方正仿宋_GB2312" w:hAnsi="方正仿宋_GB2312" w:eastAsia="方正仿宋_GB2312" w:cs="方正仿宋_GB2312"/>
          <w:b/>
          <w:szCs w:val="32"/>
        </w:rPr>
        <w:t>意义:</w:t>
      </w:r>
    </w:p>
    <w:p w14:paraId="46C8AC25">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1、提升生产效率和经济效益</w:t>
      </w:r>
    </w:p>
    <w:p w14:paraId="55BCCE54">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数字化车间通过自动化设备、智能排产系统等技术，可减少人工干预，优化资源利用率。</w:t>
      </w:r>
    </w:p>
    <w:p w14:paraId="0ADB61C2">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2、强化质量追溯与食品安全保障</w:t>
      </w:r>
    </w:p>
    <w:p w14:paraId="2EED23B9">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标准化的数字化车间可建立从原料采购到终端销售的全链条追溯体系，利用物联网等技术记录关键数据（原料批次、加工温度），确保问题产品快速召回，增强消费者信任。</w:t>
      </w:r>
    </w:p>
    <w:p w14:paraId="726BC4A7">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3、助力企业抢占新质生产力高地</w:t>
      </w:r>
    </w:p>
    <w:p w14:paraId="255FFA78">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数字化车间是工业4.0的核心场景，其建设可推动企业向“智能制造”升级。地方标准通过引导企业应用人工智能、数字孪生等技术，培育技术密集型的新业态，增强区域产业竞争力。</w:t>
      </w:r>
    </w:p>
    <w:p w14:paraId="1014C619">
      <w:pPr>
        <w:numPr>
          <w:ilvl w:val="0"/>
          <w:numId w:val="2"/>
        </w:numPr>
        <w:ind w:firstLine="321" w:firstLineChars="100"/>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起草单位、协作单位</w:t>
      </w:r>
    </w:p>
    <w:p w14:paraId="4A649057">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1.本标准由大连市工业和信息化局提出并归口。</w:t>
      </w:r>
    </w:p>
    <w:p w14:paraId="24A6477A">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2.本标准主要起草单位：大连标准认证研究院有限公司、大连瑞驰食品有限公司、大连科易管理咨询有限公司、大连工业大学、獐子岛集团股份有限公司、大连浩和食品有限公司。</w:t>
      </w:r>
    </w:p>
    <w:p w14:paraId="382DAAA5">
      <w:pPr>
        <w:numPr>
          <w:ilvl w:val="0"/>
          <w:numId w:val="2"/>
        </w:numPr>
        <w:ind w:firstLine="321" w:firstLineChars="100"/>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主要起草人及其所做的工作</w:t>
      </w:r>
    </w:p>
    <w:p w14:paraId="00E6EB26">
      <w:pPr>
        <w:ind w:firstLine="0" w:firstLineChars="0"/>
        <w:jc w:val="center"/>
        <w:rPr>
          <w:rFonts w:ascii="方正仿宋_GB2312" w:hAnsi="方正仿宋_GB2312" w:eastAsia="方正仿宋_GB2312" w:cs="方正仿宋_GB2312"/>
          <w:sz w:val="28"/>
          <w:szCs w:val="28"/>
        </w:rPr>
      </w:pPr>
      <w:r>
        <w:rPr>
          <w:rFonts w:hint="eastAsia" w:ascii="方正仿宋_GB2312" w:hAnsi="方正仿宋_GB2312" w:eastAsia="方正仿宋_GB2312" w:cs="方正仿宋_GB2312"/>
          <w:sz w:val="28"/>
          <w:szCs w:val="28"/>
        </w:rPr>
        <w:t>表 1 主要起草人与任务分工</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988"/>
        <w:gridCol w:w="2806"/>
        <w:gridCol w:w="1910"/>
        <w:gridCol w:w="1991"/>
      </w:tblGrid>
      <w:tr w14:paraId="423E8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tcPr>
          <w:p w14:paraId="671CEDE5">
            <w:pPr>
              <w:ind w:firstLine="0" w:firstLineChars="0"/>
              <w:jc w:val="center"/>
              <w:rPr>
                <w:rFonts w:ascii="方正仿宋_GB2312" w:hAnsi="方正仿宋_GB2312" w:eastAsia="方正仿宋_GB2312" w:cs="方正仿宋_GB2312"/>
                <w:b/>
                <w:bCs/>
                <w:sz w:val="28"/>
                <w:szCs w:val="28"/>
              </w:rPr>
            </w:pPr>
            <w:r>
              <w:rPr>
                <w:rFonts w:hint="eastAsia" w:ascii="方正仿宋_GB2312" w:hAnsi="方正仿宋_GB2312" w:eastAsia="方正仿宋_GB2312" w:cs="方正仿宋_GB2312"/>
                <w:b/>
                <w:bCs/>
                <w:sz w:val="28"/>
                <w:szCs w:val="28"/>
              </w:rPr>
              <w:t>序号</w:t>
            </w:r>
          </w:p>
        </w:tc>
        <w:tc>
          <w:tcPr>
            <w:tcW w:w="988" w:type="dxa"/>
          </w:tcPr>
          <w:p w14:paraId="223C84FB">
            <w:pPr>
              <w:ind w:firstLine="0" w:firstLineChars="0"/>
              <w:jc w:val="center"/>
              <w:rPr>
                <w:rFonts w:ascii="方正仿宋_GB2312" w:hAnsi="方正仿宋_GB2312" w:eastAsia="方正仿宋_GB2312" w:cs="方正仿宋_GB2312"/>
                <w:b/>
                <w:bCs/>
                <w:sz w:val="28"/>
                <w:szCs w:val="28"/>
              </w:rPr>
            </w:pPr>
            <w:r>
              <w:rPr>
                <w:rFonts w:hint="eastAsia" w:ascii="方正仿宋_GB2312" w:hAnsi="方正仿宋_GB2312" w:eastAsia="方正仿宋_GB2312" w:cs="方正仿宋_GB2312"/>
                <w:b/>
                <w:bCs/>
                <w:sz w:val="28"/>
                <w:szCs w:val="28"/>
              </w:rPr>
              <w:t>姓名</w:t>
            </w:r>
          </w:p>
        </w:tc>
        <w:tc>
          <w:tcPr>
            <w:tcW w:w="2806" w:type="dxa"/>
          </w:tcPr>
          <w:p w14:paraId="34AEF518">
            <w:pPr>
              <w:ind w:firstLine="0" w:firstLineChars="0"/>
              <w:jc w:val="center"/>
              <w:rPr>
                <w:rFonts w:ascii="方正仿宋_GB2312" w:hAnsi="方正仿宋_GB2312" w:eastAsia="方正仿宋_GB2312" w:cs="方正仿宋_GB2312"/>
                <w:b/>
                <w:bCs/>
                <w:sz w:val="28"/>
                <w:szCs w:val="28"/>
              </w:rPr>
            </w:pPr>
            <w:r>
              <w:rPr>
                <w:rFonts w:hint="eastAsia" w:ascii="方正仿宋_GB2312" w:hAnsi="方正仿宋_GB2312" w:eastAsia="方正仿宋_GB2312" w:cs="方正仿宋_GB2312"/>
                <w:b/>
                <w:bCs/>
                <w:sz w:val="28"/>
                <w:szCs w:val="28"/>
              </w:rPr>
              <w:t>工作单位</w:t>
            </w:r>
          </w:p>
        </w:tc>
        <w:tc>
          <w:tcPr>
            <w:tcW w:w="1910" w:type="dxa"/>
          </w:tcPr>
          <w:p w14:paraId="61255668">
            <w:pPr>
              <w:ind w:firstLine="0" w:firstLineChars="0"/>
              <w:jc w:val="center"/>
              <w:rPr>
                <w:rFonts w:ascii="方正仿宋_GB2312" w:hAnsi="方正仿宋_GB2312" w:eastAsia="方正仿宋_GB2312" w:cs="方正仿宋_GB2312"/>
                <w:b/>
                <w:bCs/>
                <w:sz w:val="28"/>
                <w:szCs w:val="28"/>
              </w:rPr>
            </w:pPr>
            <w:r>
              <w:rPr>
                <w:rFonts w:hint="eastAsia" w:ascii="方正仿宋_GB2312" w:hAnsi="方正仿宋_GB2312" w:eastAsia="方正仿宋_GB2312" w:cs="方正仿宋_GB2312"/>
                <w:b/>
                <w:bCs/>
                <w:sz w:val="28"/>
                <w:szCs w:val="28"/>
              </w:rPr>
              <w:t>职务/职称</w:t>
            </w:r>
          </w:p>
        </w:tc>
        <w:tc>
          <w:tcPr>
            <w:tcW w:w="1991" w:type="dxa"/>
          </w:tcPr>
          <w:p w14:paraId="7C15C672">
            <w:pPr>
              <w:ind w:firstLine="0" w:firstLineChars="0"/>
              <w:jc w:val="center"/>
              <w:rPr>
                <w:rFonts w:ascii="方正仿宋_GB2312" w:hAnsi="方正仿宋_GB2312" w:eastAsia="方正仿宋_GB2312" w:cs="方正仿宋_GB2312"/>
                <w:b/>
                <w:bCs/>
                <w:sz w:val="28"/>
                <w:szCs w:val="28"/>
              </w:rPr>
            </w:pPr>
            <w:r>
              <w:rPr>
                <w:rFonts w:hint="eastAsia" w:ascii="方正仿宋_GB2312" w:hAnsi="方正仿宋_GB2312" w:eastAsia="方正仿宋_GB2312" w:cs="方正仿宋_GB2312"/>
                <w:b/>
                <w:bCs/>
                <w:sz w:val="28"/>
                <w:szCs w:val="28"/>
              </w:rPr>
              <w:t>任务分工</w:t>
            </w:r>
          </w:p>
        </w:tc>
      </w:tr>
      <w:tr w14:paraId="2FB45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5CB45C28">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1</w:t>
            </w:r>
          </w:p>
        </w:tc>
        <w:tc>
          <w:tcPr>
            <w:tcW w:w="988" w:type="dxa"/>
            <w:vAlign w:val="center"/>
          </w:tcPr>
          <w:p w14:paraId="2264E8F7">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王细凤</w:t>
            </w:r>
          </w:p>
        </w:tc>
        <w:tc>
          <w:tcPr>
            <w:tcW w:w="2806" w:type="dxa"/>
            <w:vAlign w:val="center"/>
          </w:tcPr>
          <w:p w14:paraId="1632299F">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大连标准认证研究院有限公司</w:t>
            </w:r>
          </w:p>
        </w:tc>
        <w:tc>
          <w:tcPr>
            <w:tcW w:w="1910" w:type="dxa"/>
          </w:tcPr>
          <w:p w14:paraId="375C52A6">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部长/教授级高工</w:t>
            </w:r>
          </w:p>
        </w:tc>
        <w:tc>
          <w:tcPr>
            <w:tcW w:w="1991" w:type="dxa"/>
            <w:vAlign w:val="center"/>
          </w:tcPr>
          <w:p w14:paraId="1A3109CD">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全面组织统筹协调标准制定工作</w:t>
            </w:r>
          </w:p>
        </w:tc>
      </w:tr>
      <w:tr w14:paraId="5CEAA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0F8A330C">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2</w:t>
            </w:r>
          </w:p>
        </w:tc>
        <w:tc>
          <w:tcPr>
            <w:tcW w:w="988" w:type="dxa"/>
            <w:vAlign w:val="center"/>
          </w:tcPr>
          <w:p w14:paraId="57FCBAC4">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袁照路</w:t>
            </w:r>
          </w:p>
        </w:tc>
        <w:tc>
          <w:tcPr>
            <w:tcW w:w="2806" w:type="dxa"/>
            <w:vAlign w:val="center"/>
          </w:tcPr>
          <w:p w14:paraId="01442232">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大连标准认证研究院有限公司</w:t>
            </w:r>
          </w:p>
        </w:tc>
        <w:tc>
          <w:tcPr>
            <w:tcW w:w="1910" w:type="dxa"/>
          </w:tcPr>
          <w:p w14:paraId="3633DAF3">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标准化主管/高级工程师</w:t>
            </w:r>
          </w:p>
        </w:tc>
        <w:tc>
          <w:tcPr>
            <w:tcW w:w="1991" w:type="dxa"/>
            <w:vAlign w:val="center"/>
          </w:tcPr>
          <w:p w14:paraId="1FA0A36C">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r w14:paraId="5B072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28CCA9FE">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3</w:t>
            </w:r>
          </w:p>
        </w:tc>
        <w:tc>
          <w:tcPr>
            <w:tcW w:w="988" w:type="dxa"/>
            <w:vAlign w:val="center"/>
          </w:tcPr>
          <w:p w14:paraId="5173153C">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刘波</w:t>
            </w:r>
          </w:p>
        </w:tc>
        <w:tc>
          <w:tcPr>
            <w:tcW w:w="2806" w:type="dxa"/>
            <w:vAlign w:val="center"/>
          </w:tcPr>
          <w:p w14:paraId="734EB46E">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大连瑞驰食品有限公司</w:t>
            </w:r>
          </w:p>
        </w:tc>
        <w:tc>
          <w:tcPr>
            <w:tcW w:w="1910" w:type="dxa"/>
          </w:tcPr>
          <w:p w14:paraId="020C4296">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总工程师</w:t>
            </w:r>
            <w:r>
              <w:rPr>
                <w:rFonts w:hint="eastAsia" w:ascii="方正仿宋_GB2312" w:hAnsi="方正仿宋_GB2312" w:eastAsia="方正仿宋_GB2312" w:cs="方正仿宋_GB2312"/>
                <w:sz w:val="24"/>
                <w:szCs w:val="24"/>
              </w:rPr>
              <w:t>/高级工程师</w:t>
            </w:r>
          </w:p>
        </w:tc>
        <w:tc>
          <w:tcPr>
            <w:tcW w:w="1991" w:type="dxa"/>
            <w:vAlign w:val="center"/>
          </w:tcPr>
          <w:p w14:paraId="4DDDA2E2">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r w14:paraId="0D182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6B6A242D">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4</w:t>
            </w:r>
          </w:p>
        </w:tc>
        <w:tc>
          <w:tcPr>
            <w:tcW w:w="988" w:type="dxa"/>
            <w:vAlign w:val="center"/>
          </w:tcPr>
          <w:p w14:paraId="03754924">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毕灵</w:t>
            </w:r>
          </w:p>
        </w:tc>
        <w:tc>
          <w:tcPr>
            <w:tcW w:w="2806" w:type="dxa"/>
            <w:vAlign w:val="center"/>
          </w:tcPr>
          <w:p w14:paraId="0C9C8768">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大连科易管理咨询有限公司</w:t>
            </w:r>
          </w:p>
        </w:tc>
        <w:tc>
          <w:tcPr>
            <w:tcW w:w="1910" w:type="dxa"/>
          </w:tcPr>
          <w:p w14:paraId="6EB2310F">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高级工程师</w:t>
            </w:r>
          </w:p>
        </w:tc>
        <w:tc>
          <w:tcPr>
            <w:tcW w:w="1991" w:type="dxa"/>
            <w:vAlign w:val="center"/>
          </w:tcPr>
          <w:p w14:paraId="174C1CB5">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r w14:paraId="527C8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4C9FCFF3">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5</w:t>
            </w:r>
          </w:p>
        </w:tc>
        <w:tc>
          <w:tcPr>
            <w:tcW w:w="988" w:type="dxa"/>
            <w:vAlign w:val="center"/>
          </w:tcPr>
          <w:p w14:paraId="6C69ABE8">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王泉</w:t>
            </w:r>
          </w:p>
        </w:tc>
        <w:tc>
          <w:tcPr>
            <w:tcW w:w="2806" w:type="dxa"/>
            <w:vAlign w:val="center"/>
          </w:tcPr>
          <w:p w14:paraId="32D11E95">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大连科易管理咨询有限公司</w:t>
            </w:r>
          </w:p>
        </w:tc>
        <w:tc>
          <w:tcPr>
            <w:tcW w:w="1910" w:type="dxa"/>
          </w:tcPr>
          <w:p w14:paraId="65D596A0">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高级工程师</w:t>
            </w:r>
          </w:p>
        </w:tc>
        <w:tc>
          <w:tcPr>
            <w:tcW w:w="1991" w:type="dxa"/>
            <w:vAlign w:val="center"/>
          </w:tcPr>
          <w:p w14:paraId="5F29E9E6">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r w14:paraId="015E0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2AD6EACD">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6</w:t>
            </w:r>
          </w:p>
        </w:tc>
        <w:tc>
          <w:tcPr>
            <w:tcW w:w="988" w:type="dxa"/>
            <w:vAlign w:val="center"/>
          </w:tcPr>
          <w:p w14:paraId="75203509">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董秀萍</w:t>
            </w:r>
          </w:p>
        </w:tc>
        <w:tc>
          <w:tcPr>
            <w:tcW w:w="2806" w:type="dxa"/>
            <w:vAlign w:val="center"/>
          </w:tcPr>
          <w:p w14:paraId="0AAE1A11">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大连工业大学</w:t>
            </w:r>
          </w:p>
        </w:tc>
        <w:tc>
          <w:tcPr>
            <w:tcW w:w="1910" w:type="dxa"/>
          </w:tcPr>
          <w:p w14:paraId="1C464199">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副院长</w:t>
            </w:r>
            <w:r>
              <w:rPr>
                <w:rFonts w:hint="eastAsia" w:ascii="方正仿宋_GB2312" w:hAnsi="方正仿宋_GB2312" w:eastAsia="方正仿宋_GB2312" w:cs="方正仿宋_GB2312"/>
                <w:sz w:val="24"/>
                <w:szCs w:val="24"/>
              </w:rPr>
              <w:t>/</w:t>
            </w:r>
            <w:r>
              <w:rPr>
                <w:rFonts w:ascii="方正仿宋_GB2312" w:hAnsi="方正仿宋_GB2312" w:eastAsia="方正仿宋_GB2312" w:cs="方正仿宋_GB2312"/>
                <w:sz w:val="24"/>
                <w:szCs w:val="24"/>
              </w:rPr>
              <w:t>教授</w:t>
            </w:r>
          </w:p>
        </w:tc>
        <w:tc>
          <w:tcPr>
            <w:tcW w:w="1991" w:type="dxa"/>
            <w:vAlign w:val="center"/>
          </w:tcPr>
          <w:p w14:paraId="6446A518">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r w14:paraId="596E0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2641E0E9">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7</w:t>
            </w:r>
          </w:p>
        </w:tc>
        <w:tc>
          <w:tcPr>
            <w:tcW w:w="988" w:type="dxa"/>
            <w:vAlign w:val="center"/>
          </w:tcPr>
          <w:p w14:paraId="2572354B">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苗君</w:t>
            </w:r>
          </w:p>
        </w:tc>
        <w:tc>
          <w:tcPr>
            <w:tcW w:w="2806" w:type="dxa"/>
            <w:vAlign w:val="center"/>
          </w:tcPr>
          <w:p w14:paraId="28B20516">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獐子岛集团股份有限公司</w:t>
            </w:r>
          </w:p>
        </w:tc>
        <w:tc>
          <w:tcPr>
            <w:tcW w:w="1910" w:type="dxa"/>
          </w:tcPr>
          <w:p w14:paraId="412CC5F1">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研发经理</w:t>
            </w:r>
          </w:p>
        </w:tc>
        <w:tc>
          <w:tcPr>
            <w:tcW w:w="1991" w:type="dxa"/>
            <w:vAlign w:val="center"/>
          </w:tcPr>
          <w:p w14:paraId="1D12D974">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r w14:paraId="05BDB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625FD777">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8</w:t>
            </w:r>
          </w:p>
        </w:tc>
        <w:tc>
          <w:tcPr>
            <w:tcW w:w="988" w:type="dxa"/>
            <w:vAlign w:val="center"/>
          </w:tcPr>
          <w:p w14:paraId="355E945B">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刘海山</w:t>
            </w:r>
          </w:p>
        </w:tc>
        <w:tc>
          <w:tcPr>
            <w:tcW w:w="2806" w:type="dxa"/>
            <w:vAlign w:val="center"/>
          </w:tcPr>
          <w:p w14:paraId="31F28BAE">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大连标准认证研究院有限公司</w:t>
            </w:r>
          </w:p>
        </w:tc>
        <w:tc>
          <w:tcPr>
            <w:tcW w:w="1910" w:type="dxa"/>
          </w:tcPr>
          <w:p w14:paraId="2DEAFFBF">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工程师</w:t>
            </w:r>
          </w:p>
        </w:tc>
        <w:tc>
          <w:tcPr>
            <w:tcW w:w="1991" w:type="dxa"/>
            <w:vAlign w:val="center"/>
          </w:tcPr>
          <w:p w14:paraId="1D63235B">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r w14:paraId="2BC32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424D9573">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9</w:t>
            </w:r>
          </w:p>
        </w:tc>
        <w:tc>
          <w:tcPr>
            <w:tcW w:w="988" w:type="dxa"/>
            <w:vAlign w:val="center"/>
          </w:tcPr>
          <w:p w14:paraId="2B0F272B">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郭焱</w:t>
            </w:r>
          </w:p>
        </w:tc>
        <w:tc>
          <w:tcPr>
            <w:tcW w:w="2806" w:type="dxa"/>
            <w:vAlign w:val="center"/>
          </w:tcPr>
          <w:p w14:paraId="135A73F9">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大连浩和食品有限公司</w:t>
            </w:r>
          </w:p>
        </w:tc>
        <w:tc>
          <w:tcPr>
            <w:tcW w:w="1910" w:type="dxa"/>
          </w:tcPr>
          <w:p w14:paraId="5C730835">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研发经理</w:t>
            </w:r>
          </w:p>
        </w:tc>
        <w:tc>
          <w:tcPr>
            <w:tcW w:w="1991" w:type="dxa"/>
            <w:vAlign w:val="center"/>
          </w:tcPr>
          <w:p w14:paraId="1874B0A4">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r w14:paraId="1DCBA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3001B777">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10</w:t>
            </w:r>
          </w:p>
        </w:tc>
        <w:tc>
          <w:tcPr>
            <w:tcW w:w="988" w:type="dxa"/>
            <w:vAlign w:val="center"/>
          </w:tcPr>
          <w:p w14:paraId="5390E27F">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徐慧</w:t>
            </w:r>
          </w:p>
        </w:tc>
        <w:tc>
          <w:tcPr>
            <w:tcW w:w="2806" w:type="dxa"/>
            <w:vAlign w:val="center"/>
          </w:tcPr>
          <w:p w14:paraId="0F5DC5E0">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大连标准认证研究院有限公司</w:t>
            </w:r>
          </w:p>
        </w:tc>
        <w:tc>
          <w:tcPr>
            <w:tcW w:w="1910" w:type="dxa"/>
          </w:tcPr>
          <w:p w14:paraId="5C27873B">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工程师</w:t>
            </w:r>
          </w:p>
        </w:tc>
        <w:tc>
          <w:tcPr>
            <w:tcW w:w="1991" w:type="dxa"/>
            <w:vAlign w:val="center"/>
          </w:tcPr>
          <w:p w14:paraId="350F29D5">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r w14:paraId="29B56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7" w:type="dxa"/>
            <w:vAlign w:val="center"/>
          </w:tcPr>
          <w:p w14:paraId="391FD389">
            <w:pPr>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11</w:t>
            </w:r>
          </w:p>
        </w:tc>
        <w:tc>
          <w:tcPr>
            <w:tcW w:w="988" w:type="dxa"/>
            <w:vAlign w:val="center"/>
          </w:tcPr>
          <w:p w14:paraId="5C261249">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韩格</w:t>
            </w:r>
          </w:p>
        </w:tc>
        <w:tc>
          <w:tcPr>
            <w:tcW w:w="2806" w:type="dxa"/>
            <w:vAlign w:val="center"/>
          </w:tcPr>
          <w:p w14:paraId="3C78B8E1">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大连工业大学</w:t>
            </w:r>
          </w:p>
        </w:tc>
        <w:tc>
          <w:tcPr>
            <w:tcW w:w="1910" w:type="dxa"/>
          </w:tcPr>
          <w:p w14:paraId="163BBAF1">
            <w:pPr>
              <w:spacing w:line="240" w:lineRule="auto"/>
              <w:ind w:firstLine="0" w:firstLineChars="0"/>
              <w:jc w:val="center"/>
              <w:rPr>
                <w:rFonts w:ascii="方正仿宋_GB2312" w:hAnsi="方正仿宋_GB2312" w:eastAsia="方正仿宋_GB2312" w:cs="方正仿宋_GB2312"/>
                <w:sz w:val="24"/>
                <w:szCs w:val="24"/>
              </w:rPr>
            </w:pPr>
            <w:r>
              <w:rPr>
                <w:rFonts w:ascii="方正仿宋_GB2312" w:hAnsi="方正仿宋_GB2312" w:eastAsia="方正仿宋_GB2312" w:cs="方正仿宋_GB2312"/>
                <w:sz w:val="24"/>
                <w:szCs w:val="24"/>
              </w:rPr>
              <w:t>讲师</w:t>
            </w:r>
          </w:p>
        </w:tc>
        <w:tc>
          <w:tcPr>
            <w:tcW w:w="1991" w:type="dxa"/>
            <w:vAlign w:val="center"/>
          </w:tcPr>
          <w:p w14:paraId="6BA6F4AA">
            <w:pPr>
              <w:spacing w:line="240" w:lineRule="auto"/>
              <w:ind w:firstLine="0" w:firstLineChars="0"/>
              <w:jc w:val="center"/>
              <w:rPr>
                <w:rFonts w:ascii="方正仿宋_GB2312" w:hAnsi="方正仿宋_GB2312" w:eastAsia="方正仿宋_GB2312" w:cs="方正仿宋_GB2312"/>
                <w:sz w:val="24"/>
                <w:szCs w:val="24"/>
              </w:rPr>
            </w:pPr>
            <w:r>
              <w:rPr>
                <w:rFonts w:hint="eastAsia" w:ascii="方正仿宋_GB2312" w:hAnsi="方正仿宋_GB2312" w:eastAsia="方正仿宋_GB2312" w:cs="方正仿宋_GB2312"/>
                <w:sz w:val="24"/>
                <w:szCs w:val="24"/>
              </w:rPr>
              <w:t>标准起草工作</w:t>
            </w:r>
          </w:p>
        </w:tc>
      </w:tr>
    </w:tbl>
    <w:p w14:paraId="7D4CDAC8">
      <w:pPr>
        <w:numPr>
          <w:ilvl w:val="0"/>
          <w:numId w:val="2"/>
        </w:numPr>
        <w:ind w:firstLine="321" w:firstLineChars="100"/>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主要工作过程</w:t>
      </w:r>
    </w:p>
    <w:p w14:paraId="75A3BA4B">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本标准的编制过程主要包括标准前期准备、标准调研、标准制定、征求意见、标准送审、标准报批等阶段。</w:t>
      </w:r>
    </w:p>
    <w:p w14:paraId="4D947B7D">
      <w:p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1.前期准备</w:t>
      </w:r>
    </w:p>
    <w:p w14:paraId="2E5CD1F6">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1）标准工作组成立。2024年7月，大连标准认证研究院有限公司接到大连市工业和信息化局下达的《预制菜企业数字化车间建设与实施指南》的编制工作任务后，成立了标准编写工作组，开展标准相关编制工作，明确了该标准的编制计划及团队分工等。</w:t>
      </w:r>
    </w:p>
    <w:p w14:paraId="77339202">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2）需求分析。标准工作组对国内数字化车间的实际情况进行深入的调查和研究，充分了解各地数字化车间建设的成果案例、辽宁省针对数字化车间试点建设的要求、大连市食品生产企业数字化车间建设案例等，为本标准的制定提供建议和指导的原则。</w:t>
      </w:r>
    </w:p>
    <w:p w14:paraId="34371FCF">
      <w:pPr>
        <w:ind w:firstLine="640"/>
      </w:pPr>
      <w:r>
        <w:rPr>
          <w:rFonts w:hint="eastAsia" w:ascii="方正仿宋_GB2312" w:hAnsi="方正仿宋_GB2312" w:eastAsia="方正仿宋_GB2312" w:cs="方正仿宋_GB2312"/>
          <w:szCs w:val="32"/>
        </w:rPr>
        <w:t xml:space="preserve"> （3）文献收集。对数字化车间</w:t>
      </w:r>
      <w:r>
        <w:rPr>
          <w:rFonts w:hint="eastAsia"/>
        </w:rPr>
        <w:t>相关法律法规、标准和近期研究论文、成果等资料进行收集整理和研究；了解数字化车间相关政策文件、标准体系、标准制定的最新工作进展和标准现状。在此基础上，根据本标准的内容大纲，进行相关信息的收集和整理，为标准起草提供全面、准确和详实的材料依据。</w:t>
      </w:r>
    </w:p>
    <w:p w14:paraId="57C51F52">
      <w:p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2.标准调研</w:t>
      </w:r>
    </w:p>
    <w:p w14:paraId="054E13A5">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2024年8月1日 至 2024年8月30日，标准工作组对前期准备阶段收集的信息和资料进行整理、分类和归纳，经过大量研究，搭建标准的基本框架，包括标准的范围、术语定义、建设原则、需考虑的因素、建设内容、实施指南和智能化设备等，编制草案初稿。同时，召开内部研讨会，对标准草案进行深入讨论。标准编制组根据研讨会意见，对标准草案进行了修改完善。 </w:t>
      </w:r>
    </w:p>
    <w:p w14:paraId="520F1AA7">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2024年8月20日大连标准认证研究院有限公司收到大连市市场监督管理局举办的《关于召开2024年度大连市地方标准制修订工作培训会议的通知》，立即向标准工作组其他成员转发了相关会议通知，于8月27日组织工作组成员参加了本次专题培训。</w:t>
      </w:r>
    </w:p>
    <w:p w14:paraId="3701B4BA">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为保证标准内容的实用性，标准编制组深入预制菜企业对大连瑞驰食品有限公司、獐子岛集团有限公司、大连浩和食品有限公司等分别展开了实地调研。具体如下：</w:t>
      </w:r>
    </w:p>
    <w:p w14:paraId="6B276484">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1、大连瑞驰食品有限公司</w:t>
      </w:r>
    </w:p>
    <w:p w14:paraId="2D62B542">
      <w:pPr>
        <w:ind w:firstLine="600"/>
        <w:rPr>
          <w:rFonts w:ascii="方正仿宋_GB2312" w:hAnsi="方正仿宋_GB2312" w:eastAsia="方正仿宋_GB2312" w:cs="方正仿宋_GB2312"/>
          <w:szCs w:val="32"/>
        </w:rPr>
      </w:pPr>
      <w:r>
        <w:rPr>
          <w:rFonts w:hint="eastAsia" w:ascii="Calibri" w:hAnsi="Calibri" w:eastAsia="宋体" w:cs="Times New Roman"/>
          <w:sz w:val="30"/>
          <w:szCs w:val="30"/>
        </w:rPr>
        <w:drawing>
          <wp:anchor distT="0" distB="0" distL="114300" distR="114300" simplePos="0" relativeHeight="251659264" behindDoc="1" locked="0" layoutInCell="1" allowOverlap="1">
            <wp:simplePos x="0" y="0"/>
            <wp:positionH relativeFrom="column">
              <wp:posOffset>512445</wp:posOffset>
            </wp:positionH>
            <wp:positionV relativeFrom="paragraph">
              <wp:posOffset>157480</wp:posOffset>
            </wp:positionV>
            <wp:extent cx="4450715" cy="3338195"/>
            <wp:effectExtent l="0" t="0" r="6985" b="0"/>
            <wp:wrapTight wrapText="bothSides">
              <wp:wrapPolygon>
                <wp:start x="0" y="0"/>
                <wp:lineTo x="0" y="21448"/>
                <wp:lineTo x="21541" y="21448"/>
                <wp:lineTo x="21541" y="0"/>
                <wp:lineTo x="0" y="0"/>
              </wp:wrapPolygon>
            </wp:wrapTight>
            <wp:docPr id="3" name="图片 3" descr="6571f9c07e5c64675b934afa7c675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6571f9c07e5c64675b934afa7c675bf"/>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450715" cy="3338195"/>
                    </a:xfrm>
                    <a:prstGeom prst="rect">
                      <a:avLst/>
                    </a:prstGeom>
                  </pic:spPr>
                </pic:pic>
              </a:graphicData>
            </a:graphic>
          </wp:anchor>
        </w:drawing>
      </w:r>
    </w:p>
    <w:p w14:paraId="5BA0A871">
      <w:pPr>
        <w:ind w:firstLine="420"/>
        <w:jc w:val="center"/>
        <w:rPr>
          <w:rFonts w:ascii="仿宋" w:hAnsi="仿宋" w:eastAsia="仿宋"/>
          <w:szCs w:val="32"/>
        </w:rPr>
      </w:pPr>
      <w:r>
        <w:rPr>
          <w:rFonts w:ascii="Arial" w:hAnsi="Arial" w:eastAsia="宋体" w:cs="Arial"/>
          <w:snapToGrid w:val="0"/>
          <w:color w:val="000000"/>
          <w:kern w:val="0"/>
          <w:position w:val="-133"/>
          <w:sz w:val="21"/>
          <w:szCs w:val="21"/>
        </w:rPr>
        <w:drawing>
          <wp:anchor distT="0" distB="0" distL="114300" distR="114300" simplePos="0" relativeHeight="251660288" behindDoc="0" locked="0" layoutInCell="1" allowOverlap="1">
            <wp:simplePos x="0" y="0"/>
            <wp:positionH relativeFrom="margin">
              <wp:posOffset>133350</wp:posOffset>
            </wp:positionH>
            <wp:positionV relativeFrom="margin">
              <wp:posOffset>741045</wp:posOffset>
            </wp:positionV>
            <wp:extent cx="5273675" cy="3513455"/>
            <wp:effectExtent l="0" t="0" r="3175" b="0"/>
            <wp:wrapTopAndBottom/>
            <wp:docPr id="4" name="IM 28"/>
            <wp:cNvGraphicFramePr/>
            <a:graphic xmlns:a="http://schemas.openxmlformats.org/drawingml/2006/main">
              <a:graphicData uri="http://schemas.openxmlformats.org/drawingml/2006/picture">
                <pic:pic xmlns:pic="http://schemas.openxmlformats.org/drawingml/2006/picture">
                  <pic:nvPicPr>
                    <pic:cNvPr id="4" name="IM 28"/>
                    <pic:cNvPicPr/>
                  </pic:nvPicPr>
                  <pic:blipFill>
                    <a:blip r:embed="rId14">
                      <a:extLst>
                        <a:ext uri="{28A0092B-C50C-407E-A947-70E740481C1C}">
                          <a14:useLocalDpi xmlns:a14="http://schemas.microsoft.com/office/drawing/2010/main" val="0"/>
                        </a:ext>
                      </a:extLst>
                    </a:blip>
                    <a:stretch>
                      <a:fillRect/>
                    </a:stretch>
                  </pic:blipFill>
                  <pic:spPr>
                    <a:xfrm>
                      <a:off x="0" y="0"/>
                      <a:ext cx="5273675" cy="3513455"/>
                    </a:xfrm>
                    <a:prstGeom prst="rect">
                      <a:avLst/>
                    </a:prstGeom>
                  </pic:spPr>
                </pic:pic>
              </a:graphicData>
            </a:graphic>
          </wp:anchor>
        </w:drawing>
      </w:r>
      <w:r>
        <w:rPr>
          <w:rFonts w:hint="eastAsia" w:ascii="仿宋" w:hAnsi="仿宋" w:eastAsia="仿宋"/>
          <w:szCs w:val="32"/>
        </w:rPr>
        <w:t>图1 项目组到访调研照片</w:t>
      </w:r>
    </w:p>
    <w:p w14:paraId="2EBBA535">
      <w:pPr>
        <w:ind w:firstLine="420"/>
        <w:rPr>
          <w:rFonts w:ascii="方正仿宋_GB2312" w:hAnsi="方正仿宋_GB2312" w:eastAsia="方正仿宋_GB2312" w:cs="方正仿宋_GB2312"/>
          <w:b/>
          <w:bCs/>
          <w:szCs w:val="32"/>
        </w:rPr>
      </w:pPr>
      <w:r>
        <w:rPr>
          <w:rFonts w:ascii="Arial" w:hAnsi="Arial" w:eastAsia="宋体" w:cs="Arial"/>
          <w:snapToGrid w:val="0"/>
          <w:color w:val="000000"/>
          <w:kern w:val="0"/>
          <w:position w:val="-73"/>
          <w:sz w:val="21"/>
          <w:szCs w:val="21"/>
        </w:rPr>
        <w:drawing>
          <wp:anchor distT="0" distB="0" distL="114300" distR="114300" simplePos="0" relativeHeight="251661312" behindDoc="0" locked="0" layoutInCell="1" allowOverlap="1">
            <wp:simplePos x="0" y="0"/>
            <wp:positionH relativeFrom="margin">
              <wp:posOffset>142240</wp:posOffset>
            </wp:positionH>
            <wp:positionV relativeFrom="margin">
              <wp:posOffset>4786630</wp:posOffset>
            </wp:positionV>
            <wp:extent cx="5273675" cy="2134235"/>
            <wp:effectExtent l="0" t="0" r="3175" b="0"/>
            <wp:wrapTopAndBottom/>
            <wp:docPr id="5" name="IM 30"/>
            <wp:cNvGraphicFramePr/>
            <a:graphic xmlns:a="http://schemas.openxmlformats.org/drawingml/2006/main">
              <a:graphicData uri="http://schemas.openxmlformats.org/drawingml/2006/picture">
                <pic:pic xmlns:pic="http://schemas.openxmlformats.org/drawingml/2006/picture">
                  <pic:nvPicPr>
                    <pic:cNvPr id="5" name="IM 30"/>
                    <pic:cNvPicPr/>
                  </pic:nvPicPr>
                  <pic:blipFill>
                    <a:blip r:embed="rId15">
                      <a:extLst>
                        <a:ext uri="{28A0092B-C50C-407E-A947-70E740481C1C}">
                          <a14:useLocalDpi xmlns:a14="http://schemas.microsoft.com/office/drawing/2010/main" val="0"/>
                        </a:ext>
                      </a:extLst>
                    </a:blip>
                    <a:stretch>
                      <a:fillRect/>
                    </a:stretch>
                  </pic:blipFill>
                  <pic:spPr>
                    <a:xfrm>
                      <a:off x="0" y="0"/>
                      <a:ext cx="5273675" cy="2134235"/>
                    </a:xfrm>
                    <a:prstGeom prst="rect">
                      <a:avLst/>
                    </a:prstGeom>
                  </pic:spPr>
                </pic:pic>
              </a:graphicData>
            </a:graphic>
          </wp:anchor>
        </w:drawing>
      </w:r>
      <w:r>
        <w:rPr>
          <w:rFonts w:hint="eastAsia" w:ascii="方正仿宋_GB2312" w:hAnsi="方正仿宋_GB2312" w:eastAsia="方正仿宋_GB2312" w:cs="方正仿宋_GB2312"/>
          <w:b/>
          <w:bCs/>
          <w:szCs w:val="32"/>
        </w:rPr>
        <w:t>瑞驰食品数字化车间实况</w:t>
      </w:r>
    </w:p>
    <w:p w14:paraId="2DC4ECD3">
      <w:pPr>
        <w:ind w:firstLine="640"/>
        <w:jc w:val="center"/>
        <w:rPr>
          <w:rFonts w:ascii="仿宋" w:hAnsi="仿宋" w:eastAsia="仿宋"/>
          <w:szCs w:val="32"/>
        </w:rPr>
      </w:pPr>
      <w:r>
        <w:rPr>
          <w:rFonts w:hint="eastAsia" w:ascii="仿宋" w:hAnsi="仿宋" w:eastAsia="仿宋"/>
          <w:szCs w:val="32"/>
        </w:rPr>
        <w:t>图2 主要智能化生产设备</w:t>
      </w:r>
    </w:p>
    <w:p w14:paraId="5F634769">
      <w:pPr>
        <w:ind w:firstLine="640"/>
        <w:jc w:val="center"/>
        <w:rPr>
          <w:rFonts w:ascii="仿宋" w:hAnsi="仿宋" w:eastAsia="仿宋"/>
          <w:szCs w:val="32"/>
        </w:rPr>
      </w:pPr>
      <w:r>
        <w:rPr>
          <w:rFonts w:hint="eastAsia" w:ascii="仿宋" w:hAnsi="仿宋" w:eastAsia="仿宋"/>
          <w:szCs w:val="32"/>
        </w:rPr>
        <w:t>图3 系统监控画面</w:t>
      </w:r>
    </w:p>
    <w:p w14:paraId="700CC42F">
      <w:pPr>
        <w:ind w:firstLine="643"/>
        <w:rPr>
          <w:rFonts w:ascii="方正仿宋_GB2312" w:hAnsi="方正仿宋_GB2312" w:eastAsia="方正仿宋_GB2312" w:cs="方正仿宋_GB2312"/>
          <w:b/>
          <w:bCs/>
          <w:szCs w:val="32"/>
        </w:rPr>
      </w:pPr>
    </w:p>
    <w:p w14:paraId="0BCC95CB">
      <w:pPr>
        <w:ind w:firstLine="643"/>
        <w:rPr>
          <w:rFonts w:ascii="方正仿宋_GB2312" w:hAnsi="方正仿宋_GB2312" w:eastAsia="方正仿宋_GB2312" w:cs="方正仿宋_GB2312"/>
          <w:b/>
          <w:bCs/>
          <w:szCs w:val="32"/>
        </w:rPr>
      </w:pPr>
    </w:p>
    <w:p w14:paraId="74523307">
      <w:pPr>
        <w:ind w:firstLine="643"/>
        <w:rPr>
          <w:rFonts w:ascii="方正仿宋_GB2312" w:hAnsi="方正仿宋_GB2312" w:eastAsia="方正仿宋_GB2312" w:cs="方正仿宋_GB2312"/>
          <w:b/>
          <w:bCs/>
          <w:szCs w:val="32"/>
        </w:rPr>
      </w:pPr>
    </w:p>
    <w:p w14:paraId="09E25E07">
      <w:pPr>
        <w:ind w:firstLine="640"/>
        <w:jc w:val="center"/>
        <w:rPr>
          <w:rFonts w:ascii="仿宋" w:hAnsi="仿宋" w:eastAsia="仿宋"/>
          <w:szCs w:val="32"/>
        </w:rPr>
      </w:pPr>
      <w:r>
        <w:rPr>
          <w:rFonts w:ascii="仿宋" w:hAnsi="仿宋" w:eastAsia="仿宋"/>
          <w:szCs w:val="32"/>
        </w:rPr>
        <w:drawing>
          <wp:anchor distT="0" distB="0" distL="114300" distR="114300" simplePos="0" relativeHeight="251663360" behindDoc="0" locked="0" layoutInCell="1" allowOverlap="1">
            <wp:simplePos x="0" y="0"/>
            <wp:positionH relativeFrom="column">
              <wp:posOffset>52070</wp:posOffset>
            </wp:positionH>
            <wp:positionV relativeFrom="paragraph">
              <wp:posOffset>2164080</wp:posOffset>
            </wp:positionV>
            <wp:extent cx="5273675" cy="1828800"/>
            <wp:effectExtent l="0" t="0" r="3175" b="0"/>
            <wp:wrapTopAndBottom/>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16">
                      <a:extLst>
                        <a:ext uri="{28A0092B-C50C-407E-A947-70E740481C1C}">
                          <a14:useLocalDpi xmlns:a14="http://schemas.microsoft.com/office/drawing/2010/main" val="0"/>
                        </a:ext>
                      </a:extLst>
                    </a:blip>
                    <a:stretch>
                      <a:fillRect/>
                    </a:stretch>
                  </pic:blipFill>
                  <pic:spPr>
                    <a:xfrm>
                      <a:off x="0" y="0"/>
                      <a:ext cx="5273675" cy="1828800"/>
                    </a:xfrm>
                    <a:prstGeom prst="rect">
                      <a:avLst/>
                    </a:prstGeom>
                  </pic:spPr>
                </pic:pic>
              </a:graphicData>
            </a:graphic>
          </wp:anchor>
        </w:drawing>
      </w:r>
      <w:r>
        <w:rPr>
          <w:rFonts w:hint="eastAsia" w:ascii="仿宋" w:hAnsi="仿宋" w:eastAsia="仿宋"/>
          <w:szCs w:val="32"/>
        </w:rPr>
        <w:t>图</w:t>
      </w:r>
      <w:r>
        <w:rPr>
          <w:rFonts w:ascii="仿宋" w:hAnsi="仿宋" w:eastAsia="仿宋"/>
          <w:szCs w:val="32"/>
        </w:rPr>
        <w:drawing>
          <wp:anchor distT="0" distB="0" distL="114300" distR="114300" simplePos="0" relativeHeight="251662336" behindDoc="0" locked="0" layoutInCell="1" allowOverlap="1">
            <wp:simplePos x="0" y="0"/>
            <wp:positionH relativeFrom="margin">
              <wp:align>center</wp:align>
            </wp:positionH>
            <wp:positionV relativeFrom="margin">
              <wp:align>top</wp:align>
            </wp:positionV>
            <wp:extent cx="5274310" cy="1558925"/>
            <wp:effectExtent l="0" t="0" r="3175" b="3810"/>
            <wp:wrapTopAndBottom/>
            <wp:docPr id="6" name="IM 52"/>
            <wp:cNvGraphicFramePr/>
            <a:graphic xmlns:a="http://schemas.openxmlformats.org/drawingml/2006/main">
              <a:graphicData uri="http://schemas.openxmlformats.org/drawingml/2006/picture">
                <pic:pic xmlns:pic="http://schemas.openxmlformats.org/drawingml/2006/picture">
                  <pic:nvPicPr>
                    <pic:cNvPr id="6" name="IM 52"/>
                    <pic:cNvPicPr/>
                  </pic:nvPicPr>
                  <pic:blipFill>
                    <a:blip r:embed="rId17">
                      <a:extLst>
                        <a:ext uri="{28A0092B-C50C-407E-A947-70E740481C1C}">
                          <a14:useLocalDpi xmlns:a14="http://schemas.microsoft.com/office/drawing/2010/main" val="0"/>
                        </a:ext>
                      </a:extLst>
                    </a:blip>
                    <a:stretch>
                      <a:fillRect/>
                    </a:stretch>
                  </pic:blipFill>
                  <pic:spPr>
                    <a:xfrm>
                      <a:off x="0" y="0"/>
                      <a:ext cx="5274000" cy="1558800"/>
                    </a:xfrm>
                    <a:prstGeom prst="rect">
                      <a:avLst/>
                    </a:prstGeom>
                  </pic:spPr>
                </pic:pic>
              </a:graphicData>
            </a:graphic>
          </wp:anchor>
        </w:drawing>
      </w:r>
      <w:r>
        <w:rPr>
          <w:rFonts w:hint="eastAsia" w:ascii="仿宋" w:hAnsi="仿宋" w:eastAsia="仿宋"/>
          <w:szCs w:val="32"/>
        </w:rPr>
        <w:t>4  生产管理系统业务流程优化</w:t>
      </w:r>
    </w:p>
    <w:p w14:paraId="4EC7371E">
      <w:pPr>
        <w:ind w:firstLine="643"/>
        <w:rPr>
          <w:rFonts w:ascii="方正仿宋_GB2312" w:hAnsi="方正仿宋_GB2312" w:eastAsia="方正仿宋_GB2312" w:cs="方正仿宋_GB2312"/>
          <w:b/>
          <w:bCs/>
          <w:szCs w:val="32"/>
        </w:rPr>
      </w:pPr>
    </w:p>
    <w:p w14:paraId="0CA38FF4">
      <w:pPr>
        <w:ind w:firstLine="640"/>
        <w:jc w:val="center"/>
        <w:rPr>
          <w:rFonts w:ascii="仿宋" w:hAnsi="仿宋" w:eastAsia="仿宋"/>
          <w:szCs w:val="32"/>
        </w:rPr>
      </w:pPr>
      <w:r>
        <w:rPr>
          <w:rFonts w:ascii="仿宋" w:hAnsi="仿宋" w:eastAsia="仿宋"/>
          <w:szCs w:val="32"/>
        </w:rPr>
        <w:drawing>
          <wp:anchor distT="0" distB="0" distL="114300" distR="114300" simplePos="0" relativeHeight="251664384" behindDoc="0" locked="0" layoutInCell="1" allowOverlap="1">
            <wp:simplePos x="0" y="0"/>
            <wp:positionH relativeFrom="column">
              <wp:posOffset>99060</wp:posOffset>
            </wp:positionH>
            <wp:positionV relativeFrom="paragraph">
              <wp:posOffset>520700</wp:posOffset>
            </wp:positionV>
            <wp:extent cx="5274310" cy="2324735"/>
            <wp:effectExtent l="0" t="0" r="3175"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4000" cy="2324664"/>
                    </a:xfrm>
                    <a:prstGeom prst="rect">
                      <a:avLst/>
                    </a:prstGeom>
                    <a:noFill/>
                  </pic:spPr>
                </pic:pic>
              </a:graphicData>
            </a:graphic>
          </wp:anchor>
        </w:drawing>
      </w:r>
      <w:r>
        <w:rPr>
          <w:rFonts w:hint="eastAsia" w:ascii="仿宋" w:hAnsi="仿宋" w:eastAsia="仿宋"/>
          <w:szCs w:val="32"/>
        </w:rPr>
        <w:t>图5  共享平台及登陆画面</w:t>
      </w:r>
    </w:p>
    <w:p w14:paraId="3A9BA366">
      <w:pPr>
        <w:ind w:firstLine="640"/>
        <w:jc w:val="center"/>
        <w:rPr>
          <w:rFonts w:ascii="仿宋" w:hAnsi="仿宋" w:eastAsia="仿宋"/>
          <w:szCs w:val="32"/>
        </w:rPr>
      </w:pPr>
      <w:r>
        <w:rPr>
          <w:rFonts w:hint="eastAsia" w:ascii="仿宋" w:hAnsi="仿宋" w:eastAsia="仿宋"/>
          <w:szCs w:val="32"/>
        </w:rPr>
        <w:t>图6 生产制造——工程数据管理（BOM）画面</w:t>
      </w:r>
    </w:p>
    <w:p w14:paraId="4BB08FCA">
      <w:pPr>
        <w:ind w:firstLine="643"/>
        <w:rPr>
          <w:rFonts w:ascii="方正仿宋_GB2312" w:hAnsi="方正仿宋_GB2312" w:eastAsia="方正仿宋_GB2312" w:cs="方正仿宋_GB2312"/>
          <w:b/>
          <w:bCs/>
          <w:szCs w:val="32"/>
        </w:rPr>
      </w:pPr>
    </w:p>
    <w:p w14:paraId="584101CA">
      <w:pPr>
        <w:ind w:firstLine="643"/>
        <w:rPr>
          <w:rFonts w:ascii="方正仿宋_GB2312" w:hAnsi="方正仿宋_GB2312" w:eastAsia="方正仿宋_GB2312" w:cs="方正仿宋_GB2312"/>
          <w:b/>
          <w:bCs/>
          <w:szCs w:val="32"/>
        </w:rPr>
      </w:pPr>
    </w:p>
    <w:p w14:paraId="5F1517A7">
      <w:pPr>
        <w:ind w:firstLine="643"/>
        <w:rPr>
          <w:rFonts w:ascii="方正仿宋_GB2312" w:hAnsi="方正仿宋_GB2312" w:eastAsia="方正仿宋_GB2312" w:cs="方正仿宋_GB2312"/>
          <w:b/>
          <w:bCs/>
          <w:szCs w:val="32"/>
        </w:rPr>
      </w:pPr>
    </w:p>
    <w:p w14:paraId="3DE6A6E2">
      <w:pPr>
        <w:ind w:firstLine="640"/>
        <w:jc w:val="center"/>
        <w:rPr>
          <w:rFonts w:ascii="仿宋" w:hAnsi="仿宋" w:eastAsia="仿宋"/>
          <w:szCs w:val="32"/>
        </w:rPr>
      </w:pPr>
      <w:r>
        <w:rPr>
          <w:rFonts w:ascii="仿宋" w:hAnsi="仿宋" w:eastAsia="仿宋"/>
          <w:szCs w:val="32"/>
        </w:rPr>
        <w:drawing>
          <wp:anchor distT="0" distB="0" distL="114300" distR="114300" simplePos="0" relativeHeight="251666432" behindDoc="0" locked="0" layoutInCell="1" allowOverlap="1">
            <wp:simplePos x="0" y="0"/>
            <wp:positionH relativeFrom="column">
              <wp:posOffset>113030</wp:posOffset>
            </wp:positionH>
            <wp:positionV relativeFrom="paragraph">
              <wp:posOffset>2724785</wp:posOffset>
            </wp:positionV>
            <wp:extent cx="5274310" cy="2647950"/>
            <wp:effectExtent l="0" t="0" r="3175" b="0"/>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4000" cy="2648009"/>
                    </a:xfrm>
                    <a:prstGeom prst="rect">
                      <a:avLst/>
                    </a:prstGeom>
                    <a:noFill/>
                  </pic:spPr>
                </pic:pic>
              </a:graphicData>
            </a:graphic>
          </wp:anchor>
        </w:drawing>
      </w:r>
      <w:r>
        <w:rPr>
          <w:rFonts w:hint="eastAsia" w:ascii="仿宋" w:hAnsi="仿宋" w:eastAsia="仿宋"/>
          <w:szCs w:val="32"/>
        </w:rPr>
        <w:t>图</w:t>
      </w:r>
      <w:r>
        <w:rPr>
          <w:rFonts w:ascii="仿宋" w:hAnsi="仿宋" w:eastAsia="仿宋"/>
          <w:szCs w:val="32"/>
        </w:rPr>
        <w:drawing>
          <wp:anchor distT="0" distB="0" distL="114300" distR="114300" simplePos="0" relativeHeight="251665408" behindDoc="0" locked="0" layoutInCell="1" allowOverlap="1">
            <wp:simplePos x="0" y="0"/>
            <wp:positionH relativeFrom="column">
              <wp:posOffset>236855</wp:posOffset>
            </wp:positionH>
            <wp:positionV relativeFrom="paragraph">
              <wp:posOffset>-9525</wp:posOffset>
            </wp:positionV>
            <wp:extent cx="5274310" cy="2102485"/>
            <wp:effectExtent l="0" t="0" r="2540" b="0"/>
            <wp:wrapTopAndBottom/>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20">
                      <a:extLst>
                        <a:ext uri="{28A0092B-C50C-407E-A947-70E740481C1C}">
                          <a14:useLocalDpi xmlns:a14="http://schemas.microsoft.com/office/drawing/2010/main" val="0"/>
                        </a:ext>
                      </a:extLst>
                    </a:blip>
                    <a:stretch>
                      <a:fillRect/>
                    </a:stretch>
                  </pic:blipFill>
                  <pic:spPr>
                    <a:xfrm>
                      <a:off x="0" y="0"/>
                      <a:ext cx="5274310" cy="2102485"/>
                    </a:xfrm>
                    <a:prstGeom prst="rect">
                      <a:avLst/>
                    </a:prstGeom>
                  </pic:spPr>
                </pic:pic>
              </a:graphicData>
            </a:graphic>
          </wp:anchor>
        </w:drawing>
      </w:r>
      <w:r>
        <w:rPr>
          <w:rFonts w:hint="eastAsia" w:ascii="仿宋" w:hAnsi="仿宋" w:eastAsia="仿宋"/>
          <w:szCs w:val="32"/>
        </w:rPr>
        <w:t>7 供应链仓储物流管理系统登录界面</w:t>
      </w:r>
    </w:p>
    <w:p w14:paraId="35E7DE6E">
      <w:pPr>
        <w:ind w:firstLine="640"/>
        <w:jc w:val="center"/>
        <w:rPr>
          <w:rFonts w:ascii="仿宋" w:hAnsi="仿宋" w:eastAsia="仿宋"/>
          <w:szCs w:val="32"/>
        </w:rPr>
      </w:pPr>
      <w:r>
        <w:rPr>
          <w:rFonts w:ascii="仿宋" w:hAnsi="仿宋" w:eastAsia="仿宋"/>
          <w:szCs w:val="32"/>
        </w:rPr>
        <w:drawing>
          <wp:anchor distT="0" distB="0" distL="114300" distR="114300" simplePos="0" relativeHeight="251667456" behindDoc="0" locked="0" layoutInCell="1" allowOverlap="1">
            <wp:simplePos x="0" y="0"/>
            <wp:positionH relativeFrom="column">
              <wp:posOffset>133350</wp:posOffset>
            </wp:positionH>
            <wp:positionV relativeFrom="paragraph">
              <wp:posOffset>3779520</wp:posOffset>
            </wp:positionV>
            <wp:extent cx="5274310" cy="1490345"/>
            <wp:effectExtent l="0" t="0" r="3175" b="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4000" cy="1490415"/>
                    </a:xfrm>
                    <a:prstGeom prst="rect">
                      <a:avLst/>
                    </a:prstGeom>
                    <a:noFill/>
                  </pic:spPr>
                </pic:pic>
              </a:graphicData>
            </a:graphic>
          </wp:anchor>
        </w:drawing>
      </w:r>
      <w:r>
        <w:rPr>
          <w:rFonts w:hint="eastAsia" w:ascii="仿宋" w:hAnsi="仿宋" w:eastAsia="仿宋"/>
          <w:szCs w:val="32"/>
        </w:rPr>
        <w:t>图8水产品加工计重管理系统菜单界面</w:t>
      </w:r>
    </w:p>
    <w:p w14:paraId="5525EAEA">
      <w:pPr>
        <w:ind w:firstLine="643"/>
        <w:rPr>
          <w:rFonts w:ascii="方正仿宋_GB2312" w:hAnsi="方正仿宋_GB2312" w:eastAsia="方正仿宋_GB2312" w:cs="方正仿宋_GB2312"/>
          <w:b/>
          <w:bCs/>
          <w:szCs w:val="32"/>
        </w:rPr>
      </w:pPr>
    </w:p>
    <w:p w14:paraId="0C1BBEC6">
      <w:pPr>
        <w:ind w:firstLine="640"/>
        <w:jc w:val="center"/>
        <w:rPr>
          <w:rFonts w:ascii="仿宋" w:hAnsi="仿宋" w:eastAsia="仿宋"/>
          <w:szCs w:val="32"/>
        </w:rPr>
      </w:pPr>
      <w:r>
        <w:rPr>
          <w:rFonts w:ascii="仿宋" w:hAnsi="仿宋" w:eastAsia="仿宋"/>
          <w:szCs w:val="32"/>
        </w:rPr>
        <w:drawing>
          <wp:anchor distT="0" distB="0" distL="114300" distR="114300" simplePos="0" relativeHeight="251669504" behindDoc="0" locked="0" layoutInCell="1" allowOverlap="1">
            <wp:simplePos x="0" y="0"/>
            <wp:positionH relativeFrom="column">
              <wp:posOffset>322580</wp:posOffset>
            </wp:positionH>
            <wp:positionV relativeFrom="paragraph">
              <wp:posOffset>1586865</wp:posOffset>
            </wp:positionV>
            <wp:extent cx="5443220" cy="2535555"/>
            <wp:effectExtent l="0" t="0" r="5080" b="0"/>
            <wp:wrapTopAndBottom/>
            <wp:docPr id="15" name="IM 148"/>
            <wp:cNvGraphicFramePr/>
            <a:graphic xmlns:a="http://schemas.openxmlformats.org/drawingml/2006/main">
              <a:graphicData uri="http://schemas.openxmlformats.org/drawingml/2006/picture">
                <pic:pic xmlns:pic="http://schemas.openxmlformats.org/drawingml/2006/picture">
                  <pic:nvPicPr>
                    <pic:cNvPr id="15" name="IM 148"/>
                    <pic:cNvPicPr/>
                  </pic:nvPicPr>
                  <pic:blipFill>
                    <a:blip r:embed="rId22">
                      <a:extLst>
                        <a:ext uri="{28A0092B-C50C-407E-A947-70E740481C1C}">
                          <a14:useLocalDpi xmlns:a14="http://schemas.microsoft.com/office/drawing/2010/main" val="0"/>
                        </a:ext>
                      </a:extLst>
                    </a:blip>
                    <a:stretch>
                      <a:fillRect/>
                    </a:stretch>
                  </pic:blipFill>
                  <pic:spPr>
                    <a:xfrm>
                      <a:off x="0" y="0"/>
                      <a:ext cx="5443220" cy="2535555"/>
                    </a:xfrm>
                    <a:prstGeom prst="rect">
                      <a:avLst/>
                    </a:prstGeom>
                  </pic:spPr>
                </pic:pic>
              </a:graphicData>
            </a:graphic>
          </wp:anchor>
        </w:drawing>
      </w:r>
      <w:r>
        <w:rPr>
          <w:rFonts w:ascii="仿宋" w:hAnsi="仿宋" w:eastAsia="仿宋"/>
          <w:szCs w:val="32"/>
        </w:rPr>
        <w:drawing>
          <wp:anchor distT="0" distB="0" distL="114300" distR="114300" simplePos="0" relativeHeight="251668480" behindDoc="0" locked="0" layoutInCell="1" allowOverlap="1">
            <wp:simplePos x="0" y="0"/>
            <wp:positionH relativeFrom="column">
              <wp:posOffset>409575</wp:posOffset>
            </wp:positionH>
            <wp:positionV relativeFrom="paragraph">
              <wp:posOffset>-629920</wp:posOffset>
            </wp:positionV>
            <wp:extent cx="5274310" cy="1699260"/>
            <wp:effectExtent l="0" t="0" r="3175" b="0"/>
            <wp:wrapTopAndBottom/>
            <wp:docPr id="144" name="IM 144"/>
            <wp:cNvGraphicFramePr/>
            <a:graphic xmlns:a="http://schemas.openxmlformats.org/drawingml/2006/main">
              <a:graphicData uri="http://schemas.openxmlformats.org/drawingml/2006/picture">
                <pic:pic xmlns:pic="http://schemas.openxmlformats.org/drawingml/2006/picture">
                  <pic:nvPicPr>
                    <pic:cNvPr id="144" name="IM 144"/>
                    <pic:cNvPicPr/>
                  </pic:nvPicPr>
                  <pic:blipFill>
                    <a:blip r:embed="rId23">
                      <a:extLst>
                        <a:ext uri="{28A0092B-C50C-407E-A947-70E740481C1C}">
                          <a14:useLocalDpi xmlns:a14="http://schemas.microsoft.com/office/drawing/2010/main" val="0"/>
                        </a:ext>
                      </a:extLst>
                    </a:blip>
                    <a:stretch>
                      <a:fillRect/>
                    </a:stretch>
                  </pic:blipFill>
                  <pic:spPr>
                    <a:xfrm>
                      <a:off x="0" y="0"/>
                      <a:ext cx="5274000" cy="1699260"/>
                    </a:xfrm>
                    <a:prstGeom prst="rect">
                      <a:avLst/>
                    </a:prstGeom>
                  </pic:spPr>
                </pic:pic>
              </a:graphicData>
            </a:graphic>
          </wp:anchor>
        </w:drawing>
      </w:r>
      <w:r>
        <w:rPr>
          <w:rFonts w:hint="eastAsia" w:ascii="仿宋" w:hAnsi="仿宋" w:eastAsia="仿宋"/>
          <w:szCs w:val="32"/>
        </w:rPr>
        <w:t xml:space="preserve">图9、图10 </w:t>
      </w:r>
      <w:r>
        <w:rPr>
          <w:rFonts w:hint="eastAsia" w:ascii="仿宋" w:hAnsi="仿宋" w:eastAsia="仿宋"/>
          <w:szCs w:val="32"/>
        </w:rPr>
        <w:tab/>
      </w:r>
      <w:r>
        <w:rPr>
          <w:rFonts w:hint="eastAsia" w:ascii="仿宋" w:hAnsi="仿宋" w:eastAsia="仿宋"/>
          <w:szCs w:val="32"/>
        </w:rPr>
        <w:t>车间生产线-生产监控大屏及RFID 称重</w:t>
      </w:r>
    </w:p>
    <w:p w14:paraId="1FDED9F6">
      <w:pPr>
        <w:ind w:firstLine="0" w:firstLineChars="0"/>
        <w:jc w:val="center"/>
        <w:rPr>
          <w:rFonts w:ascii="方正仿宋_GB2312" w:hAnsi="方正仿宋_GB2312" w:eastAsia="方正仿宋_GB2312" w:cs="方正仿宋_GB2312"/>
          <w:b/>
          <w:bCs/>
          <w:szCs w:val="32"/>
        </w:rPr>
      </w:pPr>
      <w:r>
        <w:rPr>
          <w:rFonts w:ascii="仿宋" w:hAnsi="仿宋" w:eastAsia="仿宋"/>
          <w:szCs w:val="32"/>
        </w:rPr>
        <w:drawing>
          <wp:anchor distT="0" distB="0" distL="114300" distR="114300" simplePos="0" relativeHeight="251670528" behindDoc="0" locked="0" layoutInCell="1" allowOverlap="1">
            <wp:simplePos x="0" y="0"/>
            <wp:positionH relativeFrom="column">
              <wp:posOffset>322580</wp:posOffset>
            </wp:positionH>
            <wp:positionV relativeFrom="paragraph">
              <wp:posOffset>3387725</wp:posOffset>
            </wp:positionV>
            <wp:extent cx="5273675" cy="3026410"/>
            <wp:effectExtent l="0" t="0" r="3175" b="254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73675" cy="3026410"/>
                    </a:xfrm>
                    <a:prstGeom prst="rect">
                      <a:avLst/>
                    </a:prstGeom>
                    <a:noFill/>
                  </pic:spPr>
                </pic:pic>
              </a:graphicData>
            </a:graphic>
          </wp:anchor>
        </w:drawing>
      </w:r>
      <w:r>
        <w:rPr>
          <w:rFonts w:hint="eastAsia" w:ascii="仿宋" w:hAnsi="仿宋" w:eastAsia="仿宋"/>
          <w:szCs w:val="32"/>
        </w:rPr>
        <w:t xml:space="preserve"> 图11 水产品加工计重管理系统-车间人工绩效大屏显示</w:t>
      </w:r>
    </w:p>
    <w:p w14:paraId="5CA5927A">
      <w:pPr>
        <w:ind w:firstLine="640"/>
        <w:jc w:val="center"/>
        <w:rPr>
          <w:rFonts w:ascii="仿宋" w:hAnsi="仿宋" w:eastAsia="仿宋"/>
          <w:szCs w:val="32"/>
        </w:rPr>
      </w:pPr>
      <w:r>
        <w:rPr>
          <w:rFonts w:hint="eastAsia" w:ascii="仿宋" w:hAnsi="仿宋" w:eastAsia="仿宋"/>
          <w:szCs w:val="32"/>
        </w:rPr>
        <w:t>图 12 智物联Mixlinker 工业 IOT 平台-登录界面</w:t>
      </w:r>
    </w:p>
    <w:p w14:paraId="62BBAE98">
      <w:pPr>
        <w:ind w:firstLine="643"/>
        <w:rPr>
          <w:rFonts w:ascii="方正仿宋_GB2312" w:hAnsi="方正仿宋_GB2312" w:eastAsia="方正仿宋_GB2312" w:cs="方正仿宋_GB2312"/>
          <w:b/>
          <w:bCs/>
          <w:szCs w:val="32"/>
        </w:rPr>
      </w:pPr>
    </w:p>
    <w:p w14:paraId="21D929A3">
      <w:pPr>
        <w:ind w:firstLine="643"/>
        <w:rPr>
          <w:rFonts w:ascii="方正仿宋_GB2312" w:hAnsi="方正仿宋_GB2312" w:eastAsia="方正仿宋_GB2312" w:cs="方正仿宋_GB2312"/>
          <w:b/>
          <w:bCs/>
          <w:szCs w:val="32"/>
        </w:rPr>
      </w:pPr>
      <w:r>
        <w:rPr>
          <w:rFonts w:ascii="仿宋" w:hAnsi="仿宋" w:eastAsia="仿宋" w:cs="仿宋"/>
          <w:b/>
          <w:bCs/>
          <w:szCs w:val="32"/>
        </w:rPr>
        <w:drawing>
          <wp:anchor distT="0" distB="0" distL="114300" distR="114300" simplePos="0" relativeHeight="251671552" behindDoc="0" locked="0" layoutInCell="1" allowOverlap="1">
            <wp:simplePos x="0" y="0"/>
            <wp:positionH relativeFrom="column">
              <wp:posOffset>236220</wp:posOffset>
            </wp:positionH>
            <wp:positionV relativeFrom="paragraph">
              <wp:posOffset>463550</wp:posOffset>
            </wp:positionV>
            <wp:extent cx="4410075" cy="3307080"/>
            <wp:effectExtent l="0" t="0" r="0" b="8255"/>
            <wp:wrapTopAndBottom/>
            <wp:docPr id="17" name="图片 17" descr="606e08e96aca12e1b59277a55e6aa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606e08e96aca12e1b59277a55e6aa00"/>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10000" cy="3306818"/>
                    </a:xfrm>
                    <a:prstGeom prst="rect">
                      <a:avLst/>
                    </a:prstGeom>
                  </pic:spPr>
                </pic:pic>
              </a:graphicData>
            </a:graphic>
          </wp:anchor>
        </w:drawing>
      </w:r>
      <w:r>
        <w:rPr>
          <w:rFonts w:hint="eastAsia" w:ascii="方正仿宋_GB2312" w:hAnsi="方正仿宋_GB2312" w:eastAsia="方正仿宋_GB2312" w:cs="方正仿宋_GB2312"/>
          <w:b/>
          <w:bCs/>
          <w:szCs w:val="32"/>
        </w:rPr>
        <w:t>2、獐子岛集团股份有限公司</w:t>
      </w:r>
    </w:p>
    <w:p w14:paraId="7F7839AC">
      <w:pPr>
        <w:ind w:firstLine="640"/>
        <w:jc w:val="center"/>
        <w:rPr>
          <w:rFonts w:ascii="仿宋" w:hAnsi="仿宋" w:eastAsia="仿宋"/>
          <w:szCs w:val="32"/>
        </w:rPr>
      </w:pPr>
      <w:r>
        <w:rPr>
          <w:rFonts w:hint="eastAsia" w:ascii="仿宋" w:hAnsi="仿宋" w:eastAsia="仿宋"/>
          <w:szCs w:val="32"/>
        </w:rPr>
        <w:t>图13 项目组调研现场照片</w:t>
      </w:r>
    </w:p>
    <w:p w14:paraId="747281ED">
      <w:pPr>
        <w:ind w:firstLine="640"/>
        <w:rPr>
          <w:rFonts w:ascii="方正仿宋_GB2312" w:hAnsi="方正仿宋_GB2312" w:eastAsia="方正仿宋_GB2312" w:cs="方正仿宋_GB2312"/>
          <w:b/>
          <w:bCs/>
          <w:szCs w:val="32"/>
        </w:rPr>
      </w:pPr>
      <w:r>
        <w:rPr>
          <w:rFonts w:ascii="仿宋" w:hAnsi="仿宋" w:eastAsia="仿宋"/>
          <w:szCs w:val="32"/>
        </w:rPr>
        <w:drawing>
          <wp:anchor distT="0" distB="0" distL="114300" distR="114300" simplePos="0" relativeHeight="251672576" behindDoc="0" locked="0" layoutInCell="1" allowOverlap="1">
            <wp:simplePos x="0" y="0"/>
            <wp:positionH relativeFrom="column">
              <wp:posOffset>340360</wp:posOffset>
            </wp:positionH>
            <wp:positionV relativeFrom="paragraph">
              <wp:posOffset>456565</wp:posOffset>
            </wp:positionV>
            <wp:extent cx="4410075" cy="3304540"/>
            <wp:effectExtent l="0" t="0" r="0" b="0"/>
            <wp:wrapTopAndBottom/>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410000" cy="3304685"/>
                    </a:xfrm>
                    <a:prstGeom prst="rect">
                      <a:avLst/>
                    </a:prstGeom>
                    <a:noFill/>
                  </pic:spPr>
                </pic:pic>
              </a:graphicData>
            </a:graphic>
          </wp:anchor>
        </w:drawing>
      </w:r>
      <w:r>
        <w:rPr>
          <w:rFonts w:hint="eastAsia" w:ascii="方正仿宋_GB2312" w:hAnsi="方正仿宋_GB2312" w:eastAsia="方正仿宋_GB2312" w:cs="方正仿宋_GB2312"/>
          <w:b/>
          <w:bCs/>
          <w:szCs w:val="32"/>
        </w:rPr>
        <w:t>3、大连浩和食品有限公司</w:t>
      </w:r>
    </w:p>
    <w:p w14:paraId="536FA8E7">
      <w:pPr>
        <w:ind w:firstLine="640"/>
        <w:jc w:val="center"/>
        <w:rPr>
          <w:rFonts w:ascii="仿宋" w:hAnsi="仿宋" w:eastAsia="仿宋"/>
          <w:szCs w:val="32"/>
        </w:rPr>
      </w:pPr>
      <w:r>
        <w:rPr>
          <w:rFonts w:hint="eastAsia" w:ascii="仿宋" w:hAnsi="仿宋" w:eastAsia="仿宋"/>
          <w:szCs w:val="32"/>
        </w:rPr>
        <w:t>图14  项目组调研现场照片</w:t>
      </w:r>
    </w:p>
    <w:p w14:paraId="6F5E38E4">
      <w:pPr>
        <w:ind w:firstLine="643"/>
        <w:rPr>
          <w:rFonts w:ascii="方正仿宋_GB2312" w:hAnsi="方正仿宋_GB2312" w:eastAsia="方正仿宋_GB2312" w:cs="方正仿宋_GB2312"/>
          <w:b/>
          <w:bCs/>
          <w:szCs w:val="32"/>
        </w:rPr>
      </w:pPr>
    </w:p>
    <w:p w14:paraId="0B4E3F72">
      <w:p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3.标准制定</w:t>
      </w:r>
    </w:p>
    <w:p w14:paraId="61F6A479">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2024年9月1日 至 2025年1月20日，标准工作组根据调研结果修订标准草案，并组织标准编制组多次沟通，对标准文本进行了全面、细致的修改和完善，形成《预制菜企业数字化车间建设与实施指南》地方标准征求意见稿。 </w:t>
      </w:r>
    </w:p>
    <w:p w14:paraId="6EE0D5D9">
      <w:pPr>
        <w:widowControl/>
        <w:ind w:firstLine="622"/>
        <w:jc w:val="left"/>
        <w:rPr>
          <w:rFonts w:ascii="方正仿宋_GB2312" w:hAnsi="方正仿宋_GB2312" w:eastAsia="方正仿宋_GB2312" w:cs="方正仿宋_GB2312"/>
        </w:rPr>
      </w:pPr>
      <w:r>
        <w:rPr>
          <w:rFonts w:hint="eastAsia" w:ascii="方正仿宋_GB2312" w:hAnsi="方正仿宋_GB2312" w:eastAsia="方正仿宋_GB2312" w:cs="方正仿宋_GB2312"/>
          <w:b/>
          <w:bCs/>
          <w:color w:val="000000"/>
          <w:kern w:val="0"/>
          <w:sz w:val="31"/>
          <w:szCs w:val="31"/>
          <w:lang w:bidi="ar"/>
        </w:rPr>
        <w:t>4.征求意见</w:t>
      </w:r>
    </w:p>
    <w:p w14:paraId="6C50D033">
      <w:pPr>
        <w:widowControl/>
        <w:ind w:firstLine="640"/>
        <w:jc w:val="left"/>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标准工作组对调研情况进行了汇总分析，对标准的主要技术内容多次研讨</w:t>
      </w:r>
      <w:r>
        <w:rPr>
          <w:rFonts w:hint="eastAsia" w:ascii="方正仿宋_GB2312" w:hAnsi="方正仿宋_GB2312" w:eastAsia="方正仿宋_GB2312" w:cs="方正仿宋_GB2312"/>
          <w:color w:val="000000"/>
          <w:kern w:val="0"/>
          <w:sz w:val="31"/>
          <w:szCs w:val="31"/>
          <w:lang w:bidi="ar"/>
        </w:rPr>
        <w:t>，</w:t>
      </w:r>
      <w:r>
        <w:rPr>
          <w:rFonts w:hint="eastAsia" w:ascii="方正仿宋_GB2312" w:hAnsi="方正仿宋_GB2312" w:eastAsia="方正仿宋_GB2312" w:cs="方正仿宋_GB2312"/>
          <w:szCs w:val="32"/>
        </w:rPr>
        <w:t>形成了《预制菜企业数字化车间建设与实施指南》（工作组讨论稿），通过大连标准化服务平台（于2025年2月10日）、会议、发函等方式公开征求意见。</w:t>
      </w:r>
    </w:p>
    <w:p w14:paraId="544E9092">
      <w:pPr>
        <w:widowControl/>
        <w:ind w:firstLine="640"/>
        <w:jc w:val="left"/>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在征集意见汇总表中，汇总了大连市海洋发展局、大连市预制菜行业协会、大连海洋大学、大连市智能制造产业协会、大连市CIO协会、大连产品质量检测研究院有限公司、大连金达调味品有限公司、大连盖世食品有限公司、大连海宝食品有限公司、北京同仁堂健康（大连）海洋食品有限公司等10家单位提出的共计5条反馈意见，均已采纳，详见表2。</w:t>
      </w:r>
    </w:p>
    <w:p w14:paraId="545E17A8">
      <w:pPr>
        <w:widowControl/>
        <w:ind w:firstLine="640"/>
        <w:jc w:val="left"/>
        <w:rPr>
          <w:rFonts w:ascii="方正仿宋_GB2312" w:hAnsi="方正仿宋_GB2312" w:eastAsia="方正仿宋_GB2312" w:cs="方正仿宋_GB2312"/>
          <w:szCs w:val="32"/>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720" w:num="1"/>
          <w:docGrid w:type="lines" w:linePitch="312" w:charSpace="0"/>
        </w:sectPr>
      </w:pPr>
    </w:p>
    <w:p w14:paraId="773DAD05">
      <w:pPr>
        <w:spacing w:line="240" w:lineRule="auto"/>
        <w:ind w:firstLine="0" w:firstLineChars="0"/>
        <w:jc w:val="center"/>
        <w:rPr>
          <w:rFonts w:eastAsia="宋体" w:cs="Times New Roman"/>
          <w:sz w:val="21"/>
          <w:szCs w:val="21"/>
        </w:rPr>
      </w:pPr>
      <w:r>
        <w:rPr>
          <w:rFonts w:hint="eastAsia" w:eastAsia="方正小标宋简体" w:cs="方正小标宋简体"/>
          <w:sz w:val="36"/>
          <w:szCs w:val="36"/>
        </w:rPr>
        <w:t>表2  大连市地方标准征求意见汇总表</w:t>
      </w:r>
    </w:p>
    <w:tbl>
      <w:tblPr>
        <w:tblStyle w:val="8"/>
        <w:tblW w:w="15300" w:type="dxa"/>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8"/>
        <w:gridCol w:w="1172"/>
        <w:gridCol w:w="2656"/>
        <w:gridCol w:w="3555"/>
        <w:gridCol w:w="3585"/>
        <w:gridCol w:w="1605"/>
        <w:gridCol w:w="2099"/>
      </w:tblGrid>
      <w:tr w14:paraId="3A136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28" w:type="dxa"/>
            <w:vMerge w:val="restart"/>
            <w:vAlign w:val="center"/>
          </w:tcPr>
          <w:p w14:paraId="569C9FA3">
            <w:pPr>
              <w:spacing w:line="240" w:lineRule="atLeast"/>
              <w:ind w:firstLine="0" w:firstLineChars="0"/>
              <w:jc w:val="center"/>
              <w:rPr>
                <w:rFonts w:eastAsia="宋体" w:cs="宋体"/>
                <w:sz w:val="21"/>
                <w:szCs w:val="21"/>
              </w:rPr>
            </w:pPr>
            <w:r>
              <w:rPr>
                <w:rFonts w:hint="eastAsia" w:eastAsia="宋体" w:cs="宋体"/>
                <w:sz w:val="21"/>
                <w:szCs w:val="21"/>
              </w:rPr>
              <w:t>序号</w:t>
            </w:r>
          </w:p>
        </w:tc>
        <w:tc>
          <w:tcPr>
            <w:tcW w:w="1172" w:type="dxa"/>
            <w:vMerge w:val="restart"/>
            <w:vAlign w:val="center"/>
          </w:tcPr>
          <w:p w14:paraId="25FB0014">
            <w:pPr>
              <w:spacing w:line="240" w:lineRule="atLeast"/>
              <w:ind w:firstLine="0" w:firstLineChars="0"/>
              <w:jc w:val="center"/>
              <w:rPr>
                <w:rFonts w:eastAsia="宋体" w:cs="Times New Roman"/>
                <w:sz w:val="21"/>
                <w:szCs w:val="21"/>
              </w:rPr>
            </w:pPr>
            <w:r>
              <w:rPr>
                <w:rFonts w:hint="eastAsia" w:eastAsia="宋体" w:cs="宋体"/>
                <w:sz w:val="21"/>
                <w:szCs w:val="21"/>
              </w:rPr>
              <w:t>章条</w:t>
            </w:r>
          </w:p>
          <w:p w14:paraId="10D22F47">
            <w:pPr>
              <w:spacing w:line="240" w:lineRule="atLeast"/>
              <w:ind w:firstLine="0" w:firstLineChars="0"/>
              <w:jc w:val="center"/>
              <w:rPr>
                <w:rFonts w:eastAsia="宋体" w:cs="Times New Roman"/>
                <w:sz w:val="21"/>
                <w:szCs w:val="21"/>
              </w:rPr>
            </w:pPr>
            <w:r>
              <w:rPr>
                <w:rFonts w:hint="eastAsia" w:eastAsia="宋体" w:cs="宋体"/>
                <w:sz w:val="21"/>
                <w:szCs w:val="21"/>
              </w:rPr>
              <w:t>编号</w:t>
            </w:r>
          </w:p>
        </w:tc>
        <w:tc>
          <w:tcPr>
            <w:tcW w:w="6211" w:type="dxa"/>
            <w:gridSpan w:val="2"/>
            <w:vAlign w:val="center"/>
          </w:tcPr>
          <w:p w14:paraId="5229E1C6">
            <w:pPr>
              <w:spacing w:line="240" w:lineRule="atLeast"/>
              <w:ind w:firstLine="0" w:firstLineChars="0"/>
              <w:jc w:val="center"/>
              <w:rPr>
                <w:rFonts w:eastAsia="宋体" w:cs="Times New Roman"/>
                <w:sz w:val="21"/>
                <w:szCs w:val="21"/>
              </w:rPr>
            </w:pPr>
            <w:r>
              <w:rPr>
                <w:rFonts w:hint="eastAsia" w:eastAsia="宋体" w:cs="宋体"/>
                <w:sz w:val="21"/>
                <w:szCs w:val="21"/>
              </w:rPr>
              <w:t>专家意见</w:t>
            </w:r>
          </w:p>
        </w:tc>
        <w:tc>
          <w:tcPr>
            <w:tcW w:w="3585" w:type="dxa"/>
            <w:vMerge w:val="restart"/>
            <w:vAlign w:val="center"/>
          </w:tcPr>
          <w:p w14:paraId="19B624FD">
            <w:pPr>
              <w:spacing w:line="240" w:lineRule="atLeast"/>
              <w:ind w:firstLine="0" w:firstLineChars="0"/>
              <w:jc w:val="center"/>
              <w:rPr>
                <w:rFonts w:eastAsia="宋体" w:cs="Times New Roman"/>
                <w:sz w:val="21"/>
                <w:szCs w:val="21"/>
              </w:rPr>
            </w:pPr>
            <w:r>
              <w:rPr>
                <w:rFonts w:hint="eastAsia" w:eastAsia="宋体" w:cs="宋体"/>
                <w:sz w:val="21"/>
                <w:szCs w:val="21"/>
              </w:rPr>
              <w:t>专家</w:t>
            </w:r>
          </w:p>
          <w:p w14:paraId="7C8D9B38">
            <w:pPr>
              <w:spacing w:line="240" w:lineRule="atLeast"/>
              <w:ind w:firstLine="0" w:firstLineChars="0"/>
              <w:jc w:val="center"/>
              <w:rPr>
                <w:rFonts w:eastAsia="宋体" w:cs="Times New Roman"/>
                <w:sz w:val="21"/>
                <w:szCs w:val="21"/>
              </w:rPr>
            </w:pPr>
            <w:r>
              <w:rPr>
                <w:rFonts w:hint="eastAsia" w:eastAsia="宋体" w:cs="宋体"/>
                <w:sz w:val="21"/>
                <w:szCs w:val="21"/>
              </w:rPr>
              <w:t>（姓名、职称、单位）</w:t>
            </w:r>
          </w:p>
        </w:tc>
        <w:tc>
          <w:tcPr>
            <w:tcW w:w="1605" w:type="dxa"/>
            <w:vMerge w:val="restart"/>
            <w:vAlign w:val="center"/>
          </w:tcPr>
          <w:p w14:paraId="0E134B86">
            <w:pPr>
              <w:spacing w:line="240" w:lineRule="atLeast"/>
              <w:ind w:firstLine="0" w:firstLineChars="0"/>
              <w:jc w:val="center"/>
              <w:rPr>
                <w:rFonts w:eastAsia="宋体" w:cs="Times New Roman"/>
                <w:sz w:val="21"/>
                <w:szCs w:val="21"/>
              </w:rPr>
            </w:pPr>
            <w:r>
              <w:rPr>
                <w:rFonts w:hint="eastAsia" w:eastAsia="宋体" w:cs="宋体"/>
                <w:sz w:val="21"/>
                <w:szCs w:val="21"/>
              </w:rPr>
              <w:t>修改情况</w:t>
            </w:r>
          </w:p>
          <w:p w14:paraId="2D38A12A">
            <w:pPr>
              <w:spacing w:line="240" w:lineRule="atLeast"/>
              <w:ind w:firstLine="0" w:firstLineChars="0"/>
              <w:jc w:val="center"/>
              <w:rPr>
                <w:rFonts w:eastAsia="宋体" w:cs="宋体"/>
                <w:sz w:val="21"/>
                <w:szCs w:val="21"/>
              </w:rPr>
            </w:pPr>
            <w:r>
              <w:rPr>
                <w:rFonts w:eastAsia="宋体" w:cs="宋体"/>
                <w:sz w:val="21"/>
                <w:szCs w:val="21"/>
              </w:rPr>
              <w:t>(</w:t>
            </w:r>
            <w:r>
              <w:rPr>
                <w:rFonts w:hint="eastAsia" w:eastAsia="宋体" w:cs="宋体"/>
                <w:sz w:val="21"/>
                <w:szCs w:val="21"/>
              </w:rPr>
              <w:t>采纳</w:t>
            </w:r>
            <w:r>
              <w:rPr>
                <w:rFonts w:eastAsia="宋体" w:cs="宋体"/>
                <w:sz w:val="21"/>
                <w:szCs w:val="21"/>
              </w:rPr>
              <w:t>/</w:t>
            </w:r>
            <w:r>
              <w:rPr>
                <w:rFonts w:hint="eastAsia" w:eastAsia="宋体" w:cs="宋体"/>
                <w:sz w:val="21"/>
                <w:szCs w:val="21"/>
              </w:rPr>
              <w:t>不采纳</w:t>
            </w:r>
            <w:r>
              <w:rPr>
                <w:rFonts w:eastAsia="宋体" w:cs="宋体"/>
                <w:sz w:val="21"/>
                <w:szCs w:val="21"/>
              </w:rPr>
              <w:t>)</w:t>
            </w:r>
          </w:p>
        </w:tc>
        <w:tc>
          <w:tcPr>
            <w:tcW w:w="2099" w:type="dxa"/>
            <w:vMerge w:val="restart"/>
            <w:vAlign w:val="bottom"/>
          </w:tcPr>
          <w:p w14:paraId="59A97B74">
            <w:pPr>
              <w:spacing w:line="480" w:lineRule="auto"/>
              <w:ind w:firstLine="0" w:firstLineChars="0"/>
              <w:jc w:val="center"/>
              <w:rPr>
                <w:rFonts w:eastAsia="宋体" w:cs="Times New Roman"/>
                <w:sz w:val="21"/>
                <w:szCs w:val="21"/>
              </w:rPr>
            </w:pPr>
            <w:r>
              <w:rPr>
                <w:rFonts w:hint="eastAsia" w:eastAsia="宋体" w:cs="宋体"/>
                <w:sz w:val="21"/>
                <w:szCs w:val="21"/>
              </w:rPr>
              <w:t>不采纳理由</w:t>
            </w:r>
          </w:p>
        </w:tc>
      </w:tr>
      <w:tr w14:paraId="3074A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trPr>
        <w:tc>
          <w:tcPr>
            <w:tcW w:w="628" w:type="dxa"/>
            <w:vMerge w:val="continue"/>
            <w:vAlign w:val="center"/>
          </w:tcPr>
          <w:p w14:paraId="5B4D84EF">
            <w:pPr>
              <w:widowControl/>
              <w:spacing w:line="240" w:lineRule="auto"/>
              <w:ind w:firstLine="0" w:firstLineChars="0"/>
              <w:jc w:val="center"/>
              <w:rPr>
                <w:rFonts w:eastAsia="宋体" w:cs="Times New Roman"/>
                <w:sz w:val="21"/>
                <w:szCs w:val="21"/>
              </w:rPr>
            </w:pPr>
          </w:p>
        </w:tc>
        <w:tc>
          <w:tcPr>
            <w:tcW w:w="1172" w:type="dxa"/>
            <w:vMerge w:val="continue"/>
            <w:vAlign w:val="center"/>
          </w:tcPr>
          <w:p w14:paraId="2A143F94">
            <w:pPr>
              <w:widowControl/>
              <w:spacing w:line="240" w:lineRule="auto"/>
              <w:ind w:firstLine="0" w:firstLineChars="0"/>
              <w:jc w:val="center"/>
              <w:rPr>
                <w:rFonts w:eastAsia="宋体" w:cs="Times New Roman"/>
                <w:sz w:val="21"/>
                <w:szCs w:val="21"/>
              </w:rPr>
            </w:pPr>
          </w:p>
        </w:tc>
        <w:tc>
          <w:tcPr>
            <w:tcW w:w="2656" w:type="dxa"/>
            <w:vAlign w:val="center"/>
          </w:tcPr>
          <w:p w14:paraId="360B4823">
            <w:pPr>
              <w:spacing w:line="240" w:lineRule="atLeast"/>
              <w:ind w:firstLine="0" w:firstLineChars="0"/>
              <w:jc w:val="center"/>
              <w:rPr>
                <w:rFonts w:eastAsia="宋体" w:cs="Times New Roman"/>
                <w:sz w:val="21"/>
                <w:szCs w:val="21"/>
              </w:rPr>
            </w:pPr>
            <w:r>
              <w:rPr>
                <w:rFonts w:hint="eastAsia" w:eastAsia="宋体" w:cs="宋体"/>
                <w:sz w:val="21"/>
                <w:szCs w:val="21"/>
              </w:rPr>
              <w:t>原稿</w:t>
            </w:r>
          </w:p>
        </w:tc>
        <w:tc>
          <w:tcPr>
            <w:tcW w:w="3555" w:type="dxa"/>
            <w:vAlign w:val="center"/>
          </w:tcPr>
          <w:p w14:paraId="3ACE16FF">
            <w:pPr>
              <w:spacing w:line="240" w:lineRule="atLeast"/>
              <w:ind w:firstLine="0" w:firstLineChars="0"/>
              <w:jc w:val="center"/>
              <w:rPr>
                <w:rFonts w:eastAsia="宋体" w:cs="Times New Roman"/>
                <w:sz w:val="21"/>
                <w:szCs w:val="21"/>
              </w:rPr>
            </w:pPr>
            <w:r>
              <w:rPr>
                <w:rFonts w:hint="eastAsia" w:eastAsia="宋体" w:cs="宋体"/>
                <w:sz w:val="21"/>
                <w:szCs w:val="21"/>
              </w:rPr>
              <w:t>改为</w:t>
            </w:r>
          </w:p>
        </w:tc>
        <w:tc>
          <w:tcPr>
            <w:tcW w:w="3585" w:type="dxa"/>
            <w:vMerge w:val="continue"/>
            <w:vAlign w:val="center"/>
          </w:tcPr>
          <w:p w14:paraId="4E364EF5">
            <w:pPr>
              <w:widowControl/>
              <w:spacing w:line="240" w:lineRule="auto"/>
              <w:ind w:firstLine="0" w:firstLineChars="0"/>
              <w:jc w:val="center"/>
              <w:rPr>
                <w:rFonts w:eastAsia="宋体" w:cs="Times New Roman"/>
                <w:sz w:val="21"/>
                <w:szCs w:val="21"/>
              </w:rPr>
            </w:pPr>
          </w:p>
        </w:tc>
        <w:tc>
          <w:tcPr>
            <w:tcW w:w="1605" w:type="dxa"/>
            <w:vMerge w:val="continue"/>
            <w:vAlign w:val="center"/>
          </w:tcPr>
          <w:p w14:paraId="2B50E5BB">
            <w:pPr>
              <w:widowControl/>
              <w:spacing w:line="240" w:lineRule="auto"/>
              <w:ind w:firstLine="0" w:firstLineChars="0"/>
              <w:jc w:val="center"/>
              <w:rPr>
                <w:rFonts w:eastAsia="宋体" w:cs="Times New Roman"/>
                <w:sz w:val="21"/>
                <w:szCs w:val="21"/>
              </w:rPr>
            </w:pPr>
          </w:p>
        </w:tc>
        <w:tc>
          <w:tcPr>
            <w:tcW w:w="2099" w:type="dxa"/>
            <w:vMerge w:val="continue"/>
            <w:vAlign w:val="center"/>
          </w:tcPr>
          <w:p w14:paraId="7055D6DF">
            <w:pPr>
              <w:widowControl/>
              <w:spacing w:line="240" w:lineRule="auto"/>
              <w:ind w:firstLine="0" w:firstLineChars="0"/>
              <w:jc w:val="center"/>
              <w:rPr>
                <w:rFonts w:eastAsia="宋体" w:cs="Times New Roman"/>
                <w:sz w:val="21"/>
                <w:szCs w:val="21"/>
              </w:rPr>
            </w:pPr>
          </w:p>
        </w:tc>
      </w:tr>
      <w:tr w14:paraId="26155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5" w:hRule="atLeast"/>
        </w:trPr>
        <w:tc>
          <w:tcPr>
            <w:tcW w:w="628" w:type="dxa"/>
            <w:vAlign w:val="center"/>
          </w:tcPr>
          <w:p w14:paraId="3FA471A2">
            <w:pPr>
              <w:numPr>
                <w:ilvl w:val="0"/>
                <w:numId w:val="3"/>
              </w:numPr>
              <w:spacing w:line="240" w:lineRule="atLeast"/>
              <w:ind w:firstLine="420"/>
              <w:jc w:val="center"/>
              <w:rPr>
                <w:rFonts w:eastAsia="宋体" w:cs="Times New Roman"/>
                <w:sz w:val="21"/>
                <w:szCs w:val="21"/>
              </w:rPr>
            </w:pPr>
          </w:p>
        </w:tc>
        <w:tc>
          <w:tcPr>
            <w:tcW w:w="1172" w:type="dxa"/>
            <w:vAlign w:val="center"/>
          </w:tcPr>
          <w:p w14:paraId="2DFDAB66">
            <w:pPr>
              <w:spacing w:line="240" w:lineRule="atLeast"/>
              <w:ind w:firstLine="0" w:firstLineChars="0"/>
              <w:rPr>
                <w:rFonts w:eastAsia="宋体" w:cs="Times New Roman"/>
                <w:sz w:val="21"/>
                <w:szCs w:val="21"/>
              </w:rPr>
            </w:pPr>
            <w:r>
              <w:rPr>
                <w:rFonts w:hint="eastAsia" w:eastAsia="宋体" w:cs="Times New Roman"/>
                <w:sz w:val="21"/>
                <w:szCs w:val="21"/>
              </w:rPr>
              <w:t>1 范围</w:t>
            </w:r>
          </w:p>
        </w:tc>
        <w:tc>
          <w:tcPr>
            <w:tcW w:w="2656" w:type="dxa"/>
            <w:vAlign w:val="center"/>
          </w:tcPr>
          <w:p w14:paraId="29E9AD2F">
            <w:pPr>
              <w:spacing w:line="240" w:lineRule="atLeast"/>
              <w:ind w:firstLine="0" w:firstLineChars="0"/>
              <w:rPr>
                <w:rFonts w:eastAsia="宋体" w:cs="Times New Roman"/>
                <w:sz w:val="21"/>
                <w:szCs w:val="21"/>
              </w:rPr>
            </w:pPr>
            <w:r>
              <w:rPr>
                <w:rFonts w:eastAsia="宋体" w:cs="Times New Roman"/>
                <w:sz w:val="21"/>
                <w:szCs w:val="21"/>
              </w:rPr>
              <w:t>本文件规定了“</w:t>
            </w:r>
            <w:r>
              <w:rPr>
                <w:rFonts w:hint="eastAsia" w:eastAsia="宋体" w:cs="Times New Roman"/>
                <w:sz w:val="21"/>
                <w:szCs w:val="21"/>
              </w:rPr>
              <w:t>.</w:t>
            </w:r>
            <w:r>
              <w:rPr>
                <w:rFonts w:eastAsia="宋体" w:cs="Times New Roman"/>
                <w:sz w:val="21"/>
                <w:szCs w:val="21"/>
              </w:rPr>
              <w:t>…</w:t>
            </w:r>
            <w:r>
              <w:rPr>
                <w:rFonts w:hint="eastAsia" w:eastAsia="宋体" w:cs="Times New Roman"/>
                <w:sz w:val="21"/>
                <w:szCs w:val="21"/>
              </w:rPr>
              <w:t>..</w:t>
            </w:r>
            <w:r>
              <w:rPr>
                <w:rFonts w:eastAsia="宋体" w:cs="Times New Roman"/>
                <w:sz w:val="21"/>
                <w:szCs w:val="21"/>
              </w:rPr>
              <w:t>”</w:t>
            </w:r>
          </w:p>
        </w:tc>
        <w:tc>
          <w:tcPr>
            <w:tcW w:w="3555" w:type="dxa"/>
            <w:vAlign w:val="center"/>
          </w:tcPr>
          <w:p w14:paraId="187068B8">
            <w:pPr>
              <w:spacing w:line="240" w:lineRule="atLeast"/>
              <w:ind w:firstLine="0" w:firstLineChars="0"/>
              <w:rPr>
                <w:rFonts w:eastAsia="宋体" w:cs="Times New Roman"/>
                <w:sz w:val="21"/>
                <w:szCs w:val="21"/>
              </w:rPr>
            </w:pPr>
            <w:r>
              <w:rPr>
                <w:rFonts w:eastAsia="宋体" w:cs="Times New Roman"/>
                <w:sz w:val="21"/>
                <w:szCs w:val="21"/>
              </w:rPr>
              <w:t>本文件提供了……</w:t>
            </w:r>
            <w:r>
              <w:rPr>
                <w:rFonts w:hint="eastAsia" w:eastAsia="宋体" w:cs="Times New Roman"/>
                <w:sz w:val="21"/>
                <w:szCs w:val="21"/>
              </w:rPr>
              <w:t>..的相关信息</w:t>
            </w:r>
          </w:p>
        </w:tc>
        <w:tc>
          <w:tcPr>
            <w:tcW w:w="3585" w:type="dxa"/>
          </w:tcPr>
          <w:p w14:paraId="179EC98B">
            <w:pPr>
              <w:spacing w:line="240" w:lineRule="atLeast"/>
              <w:ind w:firstLine="0" w:firstLineChars="0"/>
              <w:rPr>
                <w:rFonts w:eastAsia="宋体" w:cs="Times New Roman"/>
                <w:sz w:val="21"/>
                <w:szCs w:val="21"/>
              </w:rPr>
            </w:pPr>
            <w:r>
              <w:rPr>
                <w:rFonts w:eastAsia="宋体" w:cs="Times New Roman"/>
                <w:sz w:val="21"/>
                <w:szCs w:val="21"/>
              </w:rPr>
              <w:t>大连市预制菜行业协会</w:t>
            </w:r>
          </w:p>
        </w:tc>
        <w:tc>
          <w:tcPr>
            <w:tcW w:w="1605" w:type="dxa"/>
          </w:tcPr>
          <w:p w14:paraId="3D087099">
            <w:pPr>
              <w:spacing w:line="240" w:lineRule="atLeast"/>
              <w:ind w:firstLine="0" w:firstLineChars="0"/>
              <w:jc w:val="center"/>
              <w:rPr>
                <w:rFonts w:eastAsia="宋体" w:cs="宋体"/>
                <w:sz w:val="21"/>
                <w:szCs w:val="21"/>
              </w:rPr>
            </w:pPr>
          </w:p>
          <w:p w14:paraId="23E32D17">
            <w:pPr>
              <w:spacing w:line="240" w:lineRule="atLeast"/>
              <w:ind w:firstLine="0" w:firstLineChars="0"/>
              <w:jc w:val="center"/>
              <w:rPr>
                <w:rFonts w:eastAsia="宋体" w:cs="宋体"/>
                <w:sz w:val="21"/>
                <w:szCs w:val="21"/>
              </w:rPr>
            </w:pPr>
          </w:p>
          <w:p w14:paraId="00A61B13">
            <w:pPr>
              <w:spacing w:line="240" w:lineRule="atLeast"/>
              <w:ind w:firstLine="0" w:firstLineChars="0"/>
              <w:jc w:val="center"/>
              <w:rPr>
                <w:rFonts w:eastAsia="宋体" w:cs="Times New Roman"/>
                <w:sz w:val="21"/>
                <w:szCs w:val="21"/>
              </w:rPr>
            </w:pPr>
            <w:r>
              <w:rPr>
                <w:rFonts w:hint="eastAsia" w:eastAsia="宋体" w:cs="宋体"/>
                <w:sz w:val="21"/>
                <w:szCs w:val="21"/>
              </w:rPr>
              <w:t>采纳</w:t>
            </w:r>
          </w:p>
        </w:tc>
        <w:tc>
          <w:tcPr>
            <w:tcW w:w="2099" w:type="dxa"/>
          </w:tcPr>
          <w:p w14:paraId="66465625">
            <w:pPr>
              <w:spacing w:line="240" w:lineRule="atLeast"/>
              <w:ind w:firstLine="0" w:firstLineChars="0"/>
              <w:rPr>
                <w:rFonts w:eastAsia="宋体" w:cs="Times New Roman"/>
                <w:sz w:val="21"/>
                <w:szCs w:val="21"/>
              </w:rPr>
            </w:pPr>
          </w:p>
        </w:tc>
      </w:tr>
      <w:tr w14:paraId="61B44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trPr>
        <w:tc>
          <w:tcPr>
            <w:tcW w:w="628" w:type="dxa"/>
            <w:vAlign w:val="center"/>
          </w:tcPr>
          <w:p w14:paraId="7385E4A6">
            <w:pPr>
              <w:numPr>
                <w:ilvl w:val="0"/>
                <w:numId w:val="3"/>
              </w:numPr>
              <w:spacing w:line="240" w:lineRule="atLeast"/>
              <w:ind w:firstLine="420"/>
              <w:jc w:val="center"/>
              <w:rPr>
                <w:rFonts w:eastAsia="宋体" w:cs="Times New Roman"/>
                <w:sz w:val="21"/>
                <w:szCs w:val="21"/>
              </w:rPr>
            </w:pPr>
          </w:p>
        </w:tc>
        <w:tc>
          <w:tcPr>
            <w:tcW w:w="1172" w:type="dxa"/>
            <w:vAlign w:val="center"/>
          </w:tcPr>
          <w:p w14:paraId="72EA4BBE">
            <w:pPr>
              <w:spacing w:line="240" w:lineRule="atLeast"/>
              <w:ind w:firstLine="0" w:firstLineChars="0"/>
              <w:rPr>
                <w:rFonts w:eastAsia="宋体" w:cs="Times New Roman"/>
                <w:sz w:val="21"/>
                <w:szCs w:val="21"/>
              </w:rPr>
            </w:pPr>
            <w:r>
              <w:rPr>
                <w:rFonts w:hint="eastAsia" w:eastAsia="宋体" w:cs="Times New Roman"/>
                <w:sz w:val="21"/>
                <w:szCs w:val="21"/>
              </w:rPr>
              <w:t>2规范性引用文件</w:t>
            </w:r>
          </w:p>
        </w:tc>
        <w:tc>
          <w:tcPr>
            <w:tcW w:w="2656" w:type="dxa"/>
            <w:vAlign w:val="center"/>
          </w:tcPr>
          <w:p w14:paraId="6923A1B2">
            <w:pPr>
              <w:spacing w:line="240" w:lineRule="atLeast"/>
              <w:ind w:firstLine="0" w:firstLineChars="0"/>
              <w:rPr>
                <w:rFonts w:eastAsia="宋体" w:cs="Times New Roman"/>
                <w:sz w:val="21"/>
                <w:szCs w:val="21"/>
              </w:rPr>
            </w:pPr>
          </w:p>
        </w:tc>
        <w:tc>
          <w:tcPr>
            <w:tcW w:w="3555" w:type="dxa"/>
            <w:vAlign w:val="center"/>
          </w:tcPr>
          <w:p w14:paraId="0CF20B7E">
            <w:pPr>
              <w:spacing w:line="240" w:lineRule="atLeast"/>
              <w:ind w:firstLine="0" w:firstLineChars="0"/>
              <w:rPr>
                <w:rFonts w:eastAsia="宋体" w:cs="Times New Roman"/>
                <w:sz w:val="21"/>
                <w:szCs w:val="21"/>
              </w:rPr>
            </w:pPr>
            <w:r>
              <w:rPr>
                <w:rFonts w:eastAsia="宋体" w:cs="Times New Roman"/>
                <w:sz w:val="21"/>
                <w:szCs w:val="21"/>
              </w:rPr>
              <w:t>建议增加“</w:t>
            </w:r>
            <w:r>
              <w:rPr>
                <w:rFonts w:hint="eastAsia" w:eastAsia="宋体" w:cs="Times New Roman"/>
                <w:sz w:val="21"/>
                <w:szCs w:val="21"/>
              </w:rPr>
              <w:t>DB2102/T 0127  企业数字化转型实施指南</w:t>
            </w:r>
            <w:r>
              <w:rPr>
                <w:rFonts w:eastAsia="宋体" w:cs="Times New Roman"/>
                <w:sz w:val="21"/>
                <w:szCs w:val="21"/>
              </w:rPr>
              <w:t>”</w:t>
            </w:r>
          </w:p>
        </w:tc>
        <w:tc>
          <w:tcPr>
            <w:tcW w:w="3585" w:type="dxa"/>
          </w:tcPr>
          <w:p w14:paraId="1964F76E">
            <w:pPr>
              <w:spacing w:line="240" w:lineRule="atLeast"/>
              <w:ind w:firstLine="0" w:firstLineChars="0"/>
              <w:rPr>
                <w:rFonts w:eastAsia="宋体" w:cs="Times New Roman"/>
                <w:sz w:val="21"/>
                <w:szCs w:val="21"/>
              </w:rPr>
            </w:pPr>
            <w:r>
              <w:rPr>
                <w:rFonts w:eastAsia="宋体" w:cs="Times New Roman"/>
                <w:sz w:val="21"/>
                <w:szCs w:val="21"/>
              </w:rPr>
              <w:t>大连市</w:t>
            </w:r>
            <w:r>
              <w:rPr>
                <w:rFonts w:hint="eastAsia" w:eastAsia="宋体" w:cs="Times New Roman"/>
                <w:sz w:val="21"/>
                <w:szCs w:val="21"/>
              </w:rPr>
              <w:t>CIO</w:t>
            </w:r>
            <w:r>
              <w:rPr>
                <w:rFonts w:eastAsia="宋体" w:cs="Times New Roman"/>
                <w:sz w:val="21"/>
                <w:szCs w:val="21"/>
              </w:rPr>
              <w:t>协会</w:t>
            </w:r>
          </w:p>
        </w:tc>
        <w:tc>
          <w:tcPr>
            <w:tcW w:w="1605" w:type="dxa"/>
          </w:tcPr>
          <w:p w14:paraId="20340FB0">
            <w:pPr>
              <w:spacing w:line="240" w:lineRule="atLeast"/>
              <w:ind w:firstLine="0" w:firstLineChars="0"/>
              <w:jc w:val="center"/>
              <w:rPr>
                <w:rFonts w:eastAsia="宋体" w:cs="宋体"/>
                <w:sz w:val="21"/>
                <w:szCs w:val="21"/>
              </w:rPr>
            </w:pPr>
          </w:p>
          <w:p w14:paraId="002F6570">
            <w:pPr>
              <w:spacing w:line="240" w:lineRule="atLeast"/>
              <w:ind w:firstLine="0" w:firstLineChars="0"/>
              <w:jc w:val="center"/>
              <w:rPr>
                <w:rFonts w:eastAsia="宋体" w:cs="宋体"/>
                <w:sz w:val="21"/>
                <w:szCs w:val="21"/>
              </w:rPr>
            </w:pPr>
          </w:p>
          <w:p w14:paraId="2440DF12">
            <w:pPr>
              <w:spacing w:line="240" w:lineRule="atLeast"/>
              <w:ind w:firstLine="0" w:firstLineChars="0"/>
              <w:jc w:val="center"/>
              <w:rPr>
                <w:rFonts w:eastAsia="宋体" w:cs="Times New Roman"/>
                <w:sz w:val="21"/>
                <w:szCs w:val="21"/>
              </w:rPr>
            </w:pPr>
            <w:r>
              <w:rPr>
                <w:rFonts w:hint="eastAsia" w:eastAsia="宋体" w:cs="宋体"/>
                <w:sz w:val="21"/>
                <w:szCs w:val="21"/>
              </w:rPr>
              <w:t>采纳</w:t>
            </w:r>
          </w:p>
        </w:tc>
        <w:tc>
          <w:tcPr>
            <w:tcW w:w="2099" w:type="dxa"/>
          </w:tcPr>
          <w:p w14:paraId="149F2B85">
            <w:pPr>
              <w:spacing w:line="240" w:lineRule="atLeast"/>
              <w:ind w:firstLine="0" w:firstLineChars="0"/>
              <w:rPr>
                <w:rFonts w:eastAsia="宋体" w:cs="Times New Roman"/>
                <w:sz w:val="21"/>
                <w:szCs w:val="21"/>
              </w:rPr>
            </w:pPr>
          </w:p>
        </w:tc>
      </w:tr>
      <w:tr w14:paraId="07FDC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8" w:type="dxa"/>
            <w:vAlign w:val="center"/>
          </w:tcPr>
          <w:p w14:paraId="4F951FDE">
            <w:pPr>
              <w:numPr>
                <w:ilvl w:val="0"/>
                <w:numId w:val="3"/>
              </w:numPr>
              <w:spacing w:line="240" w:lineRule="atLeast"/>
              <w:ind w:firstLine="420"/>
              <w:jc w:val="center"/>
              <w:rPr>
                <w:rFonts w:eastAsia="宋体" w:cs="Times New Roman"/>
                <w:sz w:val="21"/>
                <w:szCs w:val="21"/>
              </w:rPr>
            </w:pPr>
          </w:p>
        </w:tc>
        <w:tc>
          <w:tcPr>
            <w:tcW w:w="1172" w:type="dxa"/>
            <w:vAlign w:val="center"/>
          </w:tcPr>
          <w:p w14:paraId="1FA8AA6B">
            <w:pPr>
              <w:spacing w:line="240" w:lineRule="atLeast"/>
              <w:ind w:firstLine="0" w:firstLineChars="0"/>
              <w:rPr>
                <w:rFonts w:eastAsia="宋体" w:cs="Times New Roman"/>
                <w:sz w:val="21"/>
                <w:szCs w:val="21"/>
              </w:rPr>
            </w:pPr>
            <w:r>
              <w:rPr>
                <w:rFonts w:hint="eastAsia" w:eastAsia="宋体" w:cs="Times New Roman"/>
                <w:sz w:val="21"/>
                <w:szCs w:val="21"/>
              </w:rPr>
              <w:t>4 建设原则</w:t>
            </w:r>
          </w:p>
        </w:tc>
        <w:tc>
          <w:tcPr>
            <w:tcW w:w="2656" w:type="dxa"/>
            <w:vAlign w:val="center"/>
          </w:tcPr>
          <w:p w14:paraId="114B5ED2">
            <w:pPr>
              <w:spacing w:line="240" w:lineRule="atLeast"/>
              <w:ind w:firstLine="0" w:firstLineChars="0"/>
              <w:rPr>
                <w:rFonts w:eastAsia="宋体" w:cs="Times New Roman"/>
                <w:sz w:val="21"/>
                <w:szCs w:val="21"/>
              </w:rPr>
            </w:pPr>
          </w:p>
        </w:tc>
        <w:tc>
          <w:tcPr>
            <w:tcW w:w="3555" w:type="dxa"/>
            <w:vAlign w:val="center"/>
          </w:tcPr>
          <w:p w14:paraId="6F501C64">
            <w:pPr>
              <w:spacing w:line="240" w:lineRule="atLeast"/>
              <w:ind w:firstLine="0" w:firstLineChars="0"/>
              <w:rPr>
                <w:rFonts w:eastAsia="宋体" w:cs="Times New Roman"/>
                <w:sz w:val="21"/>
                <w:szCs w:val="21"/>
              </w:rPr>
            </w:pPr>
            <w:r>
              <w:rPr>
                <w:rFonts w:hint="eastAsia" w:eastAsia="宋体" w:cs="Times New Roman"/>
                <w:sz w:val="21"/>
                <w:szCs w:val="21"/>
              </w:rPr>
              <w:t>新增4.5环保节能：符合环保和节能的要求，采用先进的生产技术和设备，降低能源消耗和环境污染</w:t>
            </w:r>
            <w:r>
              <w:rPr>
                <w:rFonts w:hint="eastAsia" w:ascii="Calibri" w:hAnsi="Calibri" w:eastAsia="宋体" w:cs="Times New Roman"/>
                <w:sz w:val="21"/>
                <w:szCs w:val="21"/>
                <w:lang w:bidi="ar"/>
              </w:rPr>
              <w:t>。</w:t>
            </w:r>
          </w:p>
        </w:tc>
        <w:tc>
          <w:tcPr>
            <w:tcW w:w="3585" w:type="dxa"/>
          </w:tcPr>
          <w:p w14:paraId="5CBF1561">
            <w:pPr>
              <w:spacing w:line="240" w:lineRule="atLeast"/>
              <w:ind w:firstLine="0" w:firstLineChars="0"/>
              <w:rPr>
                <w:rFonts w:eastAsia="宋体" w:cs="Times New Roman"/>
                <w:sz w:val="21"/>
                <w:szCs w:val="21"/>
              </w:rPr>
            </w:pPr>
            <w:r>
              <w:rPr>
                <w:rFonts w:hint="eastAsia" w:eastAsia="宋体" w:cs="Times New Roman"/>
                <w:sz w:val="21"/>
                <w:szCs w:val="21"/>
              </w:rPr>
              <w:t>大连海洋发展局</w:t>
            </w:r>
          </w:p>
        </w:tc>
        <w:tc>
          <w:tcPr>
            <w:tcW w:w="1605" w:type="dxa"/>
          </w:tcPr>
          <w:p w14:paraId="2875FDB8">
            <w:pPr>
              <w:spacing w:line="240" w:lineRule="atLeast"/>
              <w:ind w:firstLine="0" w:firstLineChars="0"/>
              <w:jc w:val="center"/>
              <w:rPr>
                <w:rFonts w:eastAsia="宋体" w:cs="宋体"/>
                <w:sz w:val="21"/>
                <w:szCs w:val="21"/>
              </w:rPr>
            </w:pPr>
          </w:p>
          <w:p w14:paraId="69D712E7">
            <w:pPr>
              <w:spacing w:line="240" w:lineRule="atLeast"/>
              <w:ind w:firstLine="0" w:firstLineChars="0"/>
              <w:jc w:val="center"/>
              <w:rPr>
                <w:rFonts w:eastAsia="宋体" w:cs="宋体"/>
                <w:sz w:val="21"/>
                <w:szCs w:val="21"/>
              </w:rPr>
            </w:pPr>
          </w:p>
          <w:p w14:paraId="3A17D714">
            <w:pPr>
              <w:spacing w:line="240" w:lineRule="atLeast"/>
              <w:ind w:firstLine="0" w:firstLineChars="0"/>
              <w:jc w:val="center"/>
              <w:rPr>
                <w:rFonts w:eastAsia="宋体" w:cs="Times New Roman"/>
                <w:sz w:val="21"/>
                <w:szCs w:val="21"/>
              </w:rPr>
            </w:pPr>
            <w:r>
              <w:rPr>
                <w:rFonts w:hint="eastAsia" w:eastAsia="宋体" w:cs="宋体"/>
                <w:sz w:val="21"/>
                <w:szCs w:val="21"/>
              </w:rPr>
              <w:t>采纳</w:t>
            </w:r>
          </w:p>
        </w:tc>
        <w:tc>
          <w:tcPr>
            <w:tcW w:w="2099" w:type="dxa"/>
          </w:tcPr>
          <w:p w14:paraId="7C177E5F">
            <w:pPr>
              <w:spacing w:line="240" w:lineRule="atLeast"/>
              <w:ind w:firstLine="0" w:firstLineChars="0"/>
              <w:rPr>
                <w:rFonts w:eastAsia="宋体" w:cs="Times New Roman"/>
                <w:sz w:val="21"/>
                <w:szCs w:val="21"/>
              </w:rPr>
            </w:pPr>
          </w:p>
        </w:tc>
      </w:tr>
      <w:tr w14:paraId="11A0A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8" w:type="dxa"/>
            <w:vAlign w:val="center"/>
          </w:tcPr>
          <w:p w14:paraId="5FC97839">
            <w:pPr>
              <w:numPr>
                <w:ilvl w:val="0"/>
                <w:numId w:val="3"/>
              </w:numPr>
              <w:spacing w:line="240" w:lineRule="atLeast"/>
              <w:ind w:firstLine="420"/>
              <w:jc w:val="center"/>
              <w:rPr>
                <w:rFonts w:eastAsia="宋体" w:cs="Times New Roman"/>
                <w:sz w:val="21"/>
                <w:szCs w:val="21"/>
              </w:rPr>
            </w:pPr>
          </w:p>
        </w:tc>
        <w:tc>
          <w:tcPr>
            <w:tcW w:w="1172" w:type="dxa"/>
            <w:vAlign w:val="center"/>
          </w:tcPr>
          <w:p w14:paraId="1BA65359">
            <w:pPr>
              <w:spacing w:line="240" w:lineRule="atLeast"/>
              <w:ind w:firstLine="0" w:firstLineChars="0"/>
              <w:rPr>
                <w:rFonts w:eastAsia="宋体" w:cs="Times New Roman"/>
                <w:sz w:val="21"/>
                <w:szCs w:val="21"/>
              </w:rPr>
            </w:pPr>
            <w:r>
              <w:rPr>
                <w:rFonts w:hint="eastAsia" w:eastAsia="宋体" w:cs="Times New Roman"/>
                <w:sz w:val="21"/>
                <w:szCs w:val="21"/>
              </w:rPr>
              <w:t>6 建设内容</w:t>
            </w:r>
          </w:p>
        </w:tc>
        <w:tc>
          <w:tcPr>
            <w:tcW w:w="2656" w:type="dxa"/>
            <w:vAlign w:val="center"/>
          </w:tcPr>
          <w:p w14:paraId="67812DC7">
            <w:pPr>
              <w:spacing w:line="240" w:lineRule="atLeast"/>
              <w:ind w:firstLine="0" w:firstLineChars="0"/>
              <w:rPr>
                <w:rFonts w:eastAsia="宋体" w:cs="Times New Roman"/>
                <w:sz w:val="21"/>
                <w:szCs w:val="21"/>
              </w:rPr>
            </w:pPr>
          </w:p>
        </w:tc>
        <w:tc>
          <w:tcPr>
            <w:tcW w:w="3555" w:type="dxa"/>
            <w:vAlign w:val="center"/>
          </w:tcPr>
          <w:p w14:paraId="4C75628D">
            <w:pPr>
              <w:spacing w:line="240" w:lineRule="atLeast"/>
              <w:ind w:firstLine="0" w:firstLineChars="0"/>
              <w:rPr>
                <w:rFonts w:eastAsia="宋体" w:cs="Times New Roman"/>
                <w:sz w:val="21"/>
                <w:szCs w:val="21"/>
              </w:rPr>
            </w:pPr>
            <w:r>
              <w:rPr>
                <w:rFonts w:hint="eastAsia" w:ascii="Calibri" w:hAnsi="Calibri" w:eastAsia="宋体" w:cs="Times New Roman"/>
                <w:sz w:val="21"/>
                <w:szCs w:val="21"/>
                <w:lang w:bidi="ar"/>
              </w:rPr>
              <w:t>新增6.1.4设计过程的监控。</w:t>
            </w:r>
          </w:p>
        </w:tc>
        <w:tc>
          <w:tcPr>
            <w:tcW w:w="3585" w:type="dxa"/>
          </w:tcPr>
          <w:p w14:paraId="72FC9EE5">
            <w:pPr>
              <w:spacing w:line="240" w:lineRule="atLeast"/>
              <w:ind w:firstLine="0" w:firstLineChars="0"/>
              <w:rPr>
                <w:rFonts w:eastAsia="宋体" w:cs="Times New Roman"/>
                <w:sz w:val="21"/>
                <w:szCs w:val="21"/>
              </w:rPr>
            </w:pPr>
            <w:r>
              <w:rPr>
                <w:rFonts w:hint="eastAsia" w:eastAsia="宋体" w:cs="Times New Roman"/>
                <w:sz w:val="21"/>
                <w:szCs w:val="21"/>
              </w:rPr>
              <w:t>大连市智能制造产业协会</w:t>
            </w:r>
          </w:p>
        </w:tc>
        <w:tc>
          <w:tcPr>
            <w:tcW w:w="1605" w:type="dxa"/>
          </w:tcPr>
          <w:p w14:paraId="3FAB44F8">
            <w:pPr>
              <w:spacing w:line="240" w:lineRule="atLeast"/>
              <w:ind w:firstLine="0" w:firstLineChars="0"/>
              <w:jc w:val="center"/>
              <w:rPr>
                <w:rFonts w:eastAsia="宋体" w:cs="宋体"/>
                <w:sz w:val="21"/>
                <w:szCs w:val="21"/>
              </w:rPr>
            </w:pPr>
          </w:p>
          <w:p w14:paraId="38C6BD46">
            <w:pPr>
              <w:spacing w:line="240" w:lineRule="atLeast"/>
              <w:ind w:firstLine="0" w:firstLineChars="0"/>
              <w:jc w:val="center"/>
              <w:rPr>
                <w:rFonts w:eastAsia="宋体" w:cs="宋体"/>
                <w:sz w:val="21"/>
                <w:szCs w:val="21"/>
              </w:rPr>
            </w:pPr>
          </w:p>
          <w:p w14:paraId="58C4FCD5">
            <w:pPr>
              <w:spacing w:line="240" w:lineRule="atLeast"/>
              <w:ind w:firstLine="0" w:firstLineChars="0"/>
              <w:jc w:val="center"/>
              <w:rPr>
                <w:rFonts w:eastAsia="宋体" w:cs="Times New Roman"/>
                <w:sz w:val="21"/>
                <w:szCs w:val="21"/>
              </w:rPr>
            </w:pPr>
            <w:r>
              <w:rPr>
                <w:rFonts w:hint="eastAsia" w:eastAsia="宋体" w:cs="宋体"/>
                <w:sz w:val="21"/>
                <w:szCs w:val="21"/>
              </w:rPr>
              <w:t>采纳</w:t>
            </w:r>
          </w:p>
        </w:tc>
        <w:tc>
          <w:tcPr>
            <w:tcW w:w="2099" w:type="dxa"/>
          </w:tcPr>
          <w:p w14:paraId="2F27CB2D">
            <w:pPr>
              <w:spacing w:line="240" w:lineRule="atLeast"/>
              <w:ind w:firstLine="0" w:firstLineChars="0"/>
              <w:rPr>
                <w:rFonts w:eastAsia="宋体" w:cs="Times New Roman"/>
                <w:sz w:val="21"/>
                <w:szCs w:val="21"/>
              </w:rPr>
            </w:pPr>
          </w:p>
        </w:tc>
      </w:tr>
      <w:tr w14:paraId="27E48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8" w:type="dxa"/>
            <w:vAlign w:val="center"/>
          </w:tcPr>
          <w:p w14:paraId="5AAA9577">
            <w:pPr>
              <w:numPr>
                <w:ilvl w:val="0"/>
                <w:numId w:val="3"/>
              </w:numPr>
              <w:spacing w:line="240" w:lineRule="atLeast"/>
              <w:ind w:firstLine="420"/>
              <w:jc w:val="center"/>
              <w:rPr>
                <w:rFonts w:eastAsia="宋体" w:cs="Times New Roman"/>
                <w:sz w:val="21"/>
                <w:szCs w:val="21"/>
              </w:rPr>
            </w:pPr>
          </w:p>
        </w:tc>
        <w:tc>
          <w:tcPr>
            <w:tcW w:w="1172" w:type="dxa"/>
            <w:vAlign w:val="center"/>
          </w:tcPr>
          <w:p w14:paraId="4EE98922">
            <w:pPr>
              <w:spacing w:line="240" w:lineRule="atLeast"/>
              <w:ind w:firstLine="0" w:firstLineChars="0"/>
              <w:rPr>
                <w:rFonts w:eastAsia="宋体" w:cs="Times New Roman"/>
                <w:sz w:val="21"/>
                <w:szCs w:val="21"/>
              </w:rPr>
            </w:pPr>
            <w:r>
              <w:rPr>
                <w:rFonts w:hint="eastAsia" w:eastAsia="宋体" w:cs="Times New Roman"/>
                <w:sz w:val="21"/>
                <w:szCs w:val="21"/>
              </w:rPr>
              <w:t>7 实施指南</w:t>
            </w:r>
          </w:p>
        </w:tc>
        <w:tc>
          <w:tcPr>
            <w:tcW w:w="2656" w:type="dxa"/>
            <w:vAlign w:val="center"/>
          </w:tcPr>
          <w:p w14:paraId="586FDF3B">
            <w:pPr>
              <w:spacing w:line="240" w:lineRule="atLeast"/>
              <w:ind w:firstLine="0" w:firstLineChars="0"/>
              <w:rPr>
                <w:rFonts w:eastAsia="宋体" w:cs="Times New Roman"/>
                <w:sz w:val="21"/>
                <w:szCs w:val="21"/>
              </w:rPr>
            </w:pPr>
          </w:p>
        </w:tc>
        <w:tc>
          <w:tcPr>
            <w:tcW w:w="3555" w:type="dxa"/>
            <w:vAlign w:val="center"/>
          </w:tcPr>
          <w:p w14:paraId="171A1F1D">
            <w:pPr>
              <w:spacing w:line="240" w:lineRule="atLeast"/>
              <w:ind w:firstLine="0" w:firstLineChars="0"/>
              <w:rPr>
                <w:rFonts w:eastAsia="宋体" w:cs="Times New Roman"/>
                <w:sz w:val="21"/>
                <w:szCs w:val="21"/>
              </w:rPr>
            </w:pPr>
            <w:r>
              <w:rPr>
                <w:rFonts w:eastAsia="宋体" w:cs="Times New Roman"/>
                <w:sz w:val="21"/>
                <w:szCs w:val="21"/>
              </w:rPr>
              <w:t>新增</w:t>
            </w:r>
            <w:r>
              <w:rPr>
                <w:rFonts w:hint="eastAsia" w:eastAsia="宋体" w:cs="Times New Roman"/>
                <w:sz w:val="21"/>
                <w:szCs w:val="21"/>
              </w:rPr>
              <w:t xml:space="preserve"> 7.1.6 系统集成优化。预制菜企业采用数据接口、企业服务总线、大数据平台等方式实现分布式控制系统、数据采集和监控系统、制造执行系统（MES)、仓储管理系统（WMS)、企业资源计划系统（ERP)等高效协同,实现设计、工艺、制造、检验、物流等制造过程各环节之间信息互联互通与集成。基于ERP共享中台打破信息孤岛，连接现场设备，实现数字化生产运营一体化管控，推动产品和服务的升级，实现研发、生产、销售、物流、 质量等全方面集成</w:t>
            </w:r>
          </w:p>
        </w:tc>
        <w:tc>
          <w:tcPr>
            <w:tcW w:w="3585" w:type="dxa"/>
          </w:tcPr>
          <w:p w14:paraId="02BEDFCD">
            <w:pPr>
              <w:spacing w:line="240" w:lineRule="atLeast"/>
              <w:ind w:firstLine="0" w:firstLineChars="0"/>
              <w:rPr>
                <w:rFonts w:eastAsia="宋体" w:cs="Times New Roman"/>
                <w:sz w:val="21"/>
                <w:szCs w:val="21"/>
              </w:rPr>
            </w:pPr>
            <w:r>
              <w:rPr>
                <w:rFonts w:eastAsia="宋体" w:cs="Times New Roman"/>
                <w:sz w:val="21"/>
                <w:szCs w:val="21"/>
              </w:rPr>
              <w:t>大连海洋大学</w:t>
            </w:r>
          </w:p>
        </w:tc>
        <w:tc>
          <w:tcPr>
            <w:tcW w:w="1605" w:type="dxa"/>
          </w:tcPr>
          <w:p w14:paraId="36A2A8ED">
            <w:pPr>
              <w:spacing w:line="240" w:lineRule="atLeast"/>
              <w:ind w:firstLine="0" w:firstLineChars="0"/>
              <w:jc w:val="center"/>
              <w:rPr>
                <w:rFonts w:eastAsia="宋体" w:cs="宋体"/>
                <w:sz w:val="21"/>
                <w:szCs w:val="21"/>
              </w:rPr>
            </w:pPr>
          </w:p>
          <w:p w14:paraId="2C08A261">
            <w:pPr>
              <w:spacing w:line="240" w:lineRule="atLeast"/>
              <w:ind w:firstLine="0" w:firstLineChars="0"/>
              <w:jc w:val="center"/>
              <w:rPr>
                <w:rFonts w:eastAsia="宋体" w:cs="宋体"/>
                <w:sz w:val="21"/>
                <w:szCs w:val="21"/>
              </w:rPr>
            </w:pPr>
          </w:p>
          <w:p w14:paraId="6B268C58">
            <w:pPr>
              <w:spacing w:line="240" w:lineRule="atLeast"/>
              <w:ind w:firstLine="0" w:firstLineChars="0"/>
              <w:jc w:val="center"/>
              <w:rPr>
                <w:rFonts w:eastAsia="宋体" w:cs="Times New Roman"/>
                <w:sz w:val="21"/>
                <w:szCs w:val="21"/>
              </w:rPr>
            </w:pPr>
            <w:r>
              <w:rPr>
                <w:rFonts w:hint="eastAsia" w:eastAsia="宋体" w:cs="宋体"/>
                <w:sz w:val="21"/>
                <w:szCs w:val="21"/>
              </w:rPr>
              <w:t>采纳</w:t>
            </w:r>
          </w:p>
        </w:tc>
        <w:tc>
          <w:tcPr>
            <w:tcW w:w="2099" w:type="dxa"/>
          </w:tcPr>
          <w:p w14:paraId="6AAAF2D6">
            <w:pPr>
              <w:spacing w:line="240" w:lineRule="atLeast"/>
              <w:ind w:firstLine="0" w:firstLineChars="0"/>
              <w:rPr>
                <w:rFonts w:eastAsia="宋体" w:cs="Times New Roman"/>
                <w:sz w:val="21"/>
                <w:szCs w:val="21"/>
              </w:rPr>
            </w:pPr>
          </w:p>
        </w:tc>
      </w:tr>
      <w:tr w14:paraId="6C88E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8" w:type="dxa"/>
            <w:vAlign w:val="center"/>
          </w:tcPr>
          <w:p w14:paraId="1F41790C">
            <w:pPr>
              <w:numPr>
                <w:ilvl w:val="0"/>
                <w:numId w:val="3"/>
              </w:numPr>
              <w:spacing w:line="240" w:lineRule="atLeast"/>
              <w:ind w:firstLine="420"/>
              <w:jc w:val="center"/>
              <w:rPr>
                <w:rFonts w:eastAsia="宋体" w:cs="Times New Roman"/>
                <w:sz w:val="21"/>
                <w:szCs w:val="21"/>
              </w:rPr>
            </w:pPr>
          </w:p>
        </w:tc>
        <w:tc>
          <w:tcPr>
            <w:tcW w:w="7383" w:type="dxa"/>
            <w:gridSpan w:val="3"/>
            <w:vAlign w:val="center"/>
          </w:tcPr>
          <w:p w14:paraId="1D82C971">
            <w:pPr>
              <w:spacing w:line="240" w:lineRule="atLeast"/>
              <w:ind w:firstLine="0" w:firstLineChars="0"/>
              <w:jc w:val="center"/>
              <w:rPr>
                <w:rFonts w:eastAsia="宋体" w:cs="Times New Roman"/>
                <w:sz w:val="21"/>
                <w:szCs w:val="21"/>
              </w:rPr>
            </w:pPr>
          </w:p>
          <w:p w14:paraId="3E3A5F1A">
            <w:pPr>
              <w:spacing w:line="240" w:lineRule="atLeast"/>
              <w:ind w:firstLine="0" w:firstLineChars="0"/>
              <w:jc w:val="center"/>
              <w:rPr>
                <w:rFonts w:eastAsia="宋体" w:cs="Times New Roman"/>
                <w:sz w:val="21"/>
                <w:szCs w:val="21"/>
              </w:rPr>
            </w:pPr>
            <w:r>
              <w:rPr>
                <w:rFonts w:hint="eastAsia" w:eastAsia="宋体" w:cs="Times New Roman"/>
                <w:sz w:val="21"/>
                <w:szCs w:val="21"/>
              </w:rPr>
              <w:t>无</w:t>
            </w:r>
          </w:p>
        </w:tc>
        <w:tc>
          <w:tcPr>
            <w:tcW w:w="3585" w:type="dxa"/>
            <w:vAlign w:val="center"/>
          </w:tcPr>
          <w:p w14:paraId="57330B1D">
            <w:pPr>
              <w:spacing w:line="240" w:lineRule="atLeast"/>
              <w:ind w:firstLine="0" w:firstLineChars="0"/>
              <w:jc w:val="center"/>
              <w:rPr>
                <w:rFonts w:eastAsia="宋体" w:cs="Times New Roman"/>
                <w:sz w:val="21"/>
                <w:szCs w:val="21"/>
              </w:rPr>
            </w:pPr>
            <w:r>
              <w:rPr>
                <w:rFonts w:hint="eastAsia" w:eastAsia="宋体" w:cs="Times New Roman"/>
                <w:sz w:val="21"/>
                <w:szCs w:val="21"/>
              </w:rPr>
              <w:t>大连产品质量检测研究院有限公司</w:t>
            </w:r>
          </w:p>
        </w:tc>
        <w:tc>
          <w:tcPr>
            <w:tcW w:w="1605" w:type="dxa"/>
            <w:vAlign w:val="center"/>
          </w:tcPr>
          <w:p w14:paraId="471850BF">
            <w:pPr>
              <w:spacing w:line="240" w:lineRule="atLeast"/>
              <w:ind w:firstLine="0" w:firstLineChars="0"/>
              <w:jc w:val="center"/>
              <w:rPr>
                <w:rFonts w:eastAsia="宋体" w:cs="宋体"/>
                <w:sz w:val="21"/>
                <w:szCs w:val="21"/>
              </w:rPr>
            </w:pPr>
          </w:p>
          <w:p w14:paraId="2AD2D59B">
            <w:pPr>
              <w:spacing w:line="240" w:lineRule="atLeast"/>
              <w:ind w:firstLine="0" w:firstLineChars="0"/>
              <w:jc w:val="center"/>
              <w:rPr>
                <w:rFonts w:eastAsia="宋体" w:cs="Times New Roman"/>
                <w:sz w:val="21"/>
                <w:szCs w:val="21"/>
              </w:rPr>
            </w:pPr>
            <w:r>
              <w:rPr>
                <w:rFonts w:hint="eastAsia" w:eastAsia="宋体" w:cs="宋体"/>
                <w:sz w:val="21"/>
                <w:szCs w:val="21"/>
              </w:rPr>
              <w:t>采纳</w:t>
            </w:r>
          </w:p>
        </w:tc>
        <w:tc>
          <w:tcPr>
            <w:tcW w:w="2099" w:type="dxa"/>
          </w:tcPr>
          <w:p w14:paraId="78F15F6F">
            <w:pPr>
              <w:spacing w:line="240" w:lineRule="atLeast"/>
              <w:ind w:firstLine="0" w:firstLineChars="0"/>
              <w:rPr>
                <w:rFonts w:eastAsia="宋体" w:cs="Times New Roman"/>
                <w:sz w:val="21"/>
                <w:szCs w:val="21"/>
              </w:rPr>
            </w:pPr>
          </w:p>
        </w:tc>
      </w:tr>
      <w:tr w14:paraId="16FB3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8" w:type="dxa"/>
            <w:vAlign w:val="center"/>
          </w:tcPr>
          <w:p w14:paraId="2714FF02">
            <w:pPr>
              <w:numPr>
                <w:ilvl w:val="0"/>
                <w:numId w:val="3"/>
              </w:numPr>
              <w:spacing w:line="240" w:lineRule="atLeast"/>
              <w:ind w:firstLine="420"/>
              <w:jc w:val="center"/>
              <w:rPr>
                <w:rFonts w:eastAsia="宋体" w:cs="Times New Roman"/>
                <w:sz w:val="21"/>
                <w:szCs w:val="21"/>
              </w:rPr>
            </w:pPr>
          </w:p>
        </w:tc>
        <w:tc>
          <w:tcPr>
            <w:tcW w:w="7383" w:type="dxa"/>
            <w:gridSpan w:val="3"/>
            <w:vAlign w:val="center"/>
          </w:tcPr>
          <w:p w14:paraId="0D88797B">
            <w:pPr>
              <w:spacing w:line="240" w:lineRule="atLeast"/>
              <w:ind w:firstLine="0" w:firstLineChars="0"/>
              <w:jc w:val="center"/>
              <w:rPr>
                <w:rFonts w:eastAsia="宋体" w:cs="Times New Roman"/>
                <w:sz w:val="21"/>
                <w:szCs w:val="21"/>
              </w:rPr>
            </w:pPr>
            <w:r>
              <w:rPr>
                <w:rFonts w:hint="eastAsia" w:eastAsia="宋体" w:cs="Times New Roman"/>
                <w:sz w:val="21"/>
                <w:szCs w:val="21"/>
              </w:rPr>
              <w:t>无</w:t>
            </w:r>
          </w:p>
        </w:tc>
        <w:tc>
          <w:tcPr>
            <w:tcW w:w="3585" w:type="dxa"/>
            <w:vAlign w:val="center"/>
          </w:tcPr>
          <w:p w14:paraId="6F1AD73A">
            <w:pPr>
              <w:spacing w:line="240" w:lineRule="atLeast"/>
              <w:ind w:firstLine="0" w:firstLineChars="0"/>
              <w:jc w:val="center"/>
              <w:rPr>
                <w:rFonts w:eastAsia="宋体" w:cs="Times New Roman"/>
                <w:sz w:val="21"/>
                <w:szCs w:val="21"/>
              </w:rPr>
            </w:pPr>
            <w:r>
              <w:rPr>
                <w:rFonts w:hint="eastAsia" w:eastAsia="宋体" w:cs="Times New Roman"/>
                <w:sz w:val="21"/>
                <w:szCs w:val="21"/>
              </w:rPr>
              <w:t>大连金达调味品有限公司</w:t>
            </w:r>
          </w:p>
        </w:tc>
        <w:tc>
          <w:tcPr>
            <w:tcW w:w="1605" w:type="dxa"/>
            <w:vAlign w:val="center"/>
          </w:tcPr>
          <w:p w14:paraId="733985F7">
            <w:pPr>
              <w:spacing w:line="240" w:lineRule="atLeast"/>
              <w:ind w:firstLine="0" w:firstLineChars="0"/>
              <w:jc w:val="center"/>
              <w:rPr>
                <w:rFonts w:eastAsia="宋体" w:cs="宋体"/>
                <w:sz w:val="21"/>
                <w:szCs w:val="21"/>
              </w:rPr>
            </w:pPr>
            <w:r>
              <w:rPr>
                <w:rFonts w:hint="eastAsia" w:eastAsia="宋体" w:cs="宋体"/>
                <w:sz w:val="21"/>
                <w:szCs w:val="21"/>
              </w:rPr>
              <w:t>采纳</w:t>
            </w:r>
          </w:p>
        </w:tc>
        <w:tc>
          <w:tcPr>
            <w:tcW w:w="2099" w:type="dxa"/>
          </w:tcPr>
          <w:p w14:paraId="5FCD46F3">
            <w:pPr>
              <w:spacing w:line="240" w:lineRule="atLeast"/>
              <w:ind w:firstLine="0" w:firstLineChars="0"/>
              <w:rPr>
                <w:rFonts w:eastAsia="宋体" w:cs="Times New Roman"/>
                <w:sz w:val="21"/>
                <w:szCs w:val="21"/>
              </w:rPr>
            </w:pPr>
          </w:p>
        </w:tc>
      </w:tr>
      <w:tr w14:paraId="1B5C1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8" w:type="dxa"/>
            <w:vAlign w:val="center"/>
          </w:tcPr>
          <w:p w14:paraId="251B0BA8">
            <w:pPr>
              <w:numPr>
                <w:ilvl w:val="0"/>
                <w:numId w:val="3"/>
              </w:numPr>
              <w:spacing w:line="240" w:lineRule="atLeast"/>
              <w:ind w:firstLine="420"/>
              <w:jc w:val="center"/>
              <w:rPr>
                <w:rFonts w:eastAsia="宋体" w:cs="Times New Roman"/>
                <w:sz w:val="21"/>
                <w:szCs w:val="21"/>
              </w:rPr>
            </w:pPr>
          </w:p>
        </w:tc>
        <w:tc>
          <w:tcPr>
            <w:tcW w:w="7383" w:type="dxa"/>
            <w:gridSpan w:val="3"/>
            <w:vAlign w:val="center"/>
          </w:tcPr>
          <w:p w14:paraId="64E19674">
            <w:pPr>
              <w:spacing w:line="240" w:lineRule="atLeast"/>
              <w:ind w:firstLine="0" w:firstLineChars="0"/>
              <w:jc w:val="center"/>
              <w:rPr>
                <w:rFonts w:eastAsia="宋体" w:cs="Times New Roman"/>
                <w:sz w:val="21"/>
                <w:szCs w:val="21"/>
              </w:rPr>
            </w:pPr>
            <w:r>
              <w:rPr>
                <w:rFonts w:hint="eastAsia" w:eastAsia="宋体" w:cs="Times New Roman"/>
                <w:sz w:val="21"/>
                <w:szCs w:val="21"/>
              </w:rPr>
              <w:t>无</w:t>
            </w:r>
          </w:p>
        </w:tc>
        <w:tc>
          <w:tcPr>
            <w:tcW w:w="3585" w:type="dxa"/>
            <w:vAlign w:val="center"/>
          </w:tcPr>
          <w:p w14:paraId="1FB71331">
            <w:pPr>
              <w:spacing w:line="240" w:lineRule="atLeast"/>
              <w:ind w:firstLine="0" w:firstLineChars="0"/>
              <w:jc w:val="center"/>
              <w:rPr>
                <w:rFonts w:eastAsia="宋体" w:cs="Times New Roman"/>
                <w:sz w:val="21"/>
                <w:szCs w:val="21"/>
              </w:rPr>
            </w:pPr>
            <w:r>
              <w:rPr>
                <w:rFonts w:hint="eastAsia" w:eastAsia="宋体" w:cs="Times New Roman"/>
                <w:sz w:val="21"/>
                <w:szCs w:val="21"/>
              </w:rPr>
              <w:t>大连盖世食品有限公司</w:t>
            </w:r>
          </w:p>
        </w:tc>
        <w:tc>
          <w:tcPr>
            <w:tcW w:w="1605" w:type="dxa"/>
            <w:vAlign w:val="center"/>
          </w:tcPr>
          <w:p w14:paraId="7DDDEEFA">
            <w:pPr>
              <w:spacing w:line="240" w:lineRule="atLeast"/>
              <w:ind w:firstLine="0" w:firstLineChars="0"/>
              <w:jc w:val="center"/>
              <w:rPr>
                <w:rFonts w:eastAsia="宋体" w:cs="宋体"/>
                <w:sz w:val="21"/>
                <w:szCs w:val="21"/>
              </w:rPr>
            </w:pPr>
            <w:r>
              <w:rPr>
                <w:rFonts w:hint="eastAsia" w:eastAsia="宋体" w:cs="宋体"/>
                <w:sz w:val="21"/>
                <w:szCs w:val="21"/>
              </w:rPr>
              <w:t>采纳</w:t>
            </w:r>
          </w:p>
        </w:tc>
        <w:tc>
          <w:tcPr>
            <w:tcW w:w="2099" w:type="dxa"/>
          </w:tcPr>
          <w:p w14:paraId="00FF7C5D">
            <w:pPr>
              <w:spacing w:line="240" w:lineRule="atLeast"/>
              <w:ind w:firstLine="0" w:firstLineChars="0"/>
              <w:rPr>
                <w:rFonts w:eastAsia="宋体" w:cs="Times New Roman"/>
                <w:sz w:val="21"/>
                <w:szCs w:val="21"/>
              </w:rPr>
            </w:pPr>
          </w:p>
        </w:tc>
      </w:tr>
      <w:tr w14:paraId="6D4A0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8" w:type="dxa"/>
            <w:vAlign w:val="center"/>
          </w:tcPr>
          <w:p w14:paraId="607B9977">
            <w:pPr>
              <w:numPr>
                <w:ilvl w:val="0"/>
                <w:numId w:val="3"/>
              </w:numPr>
              <w:spacing w:line="240" w:lineRule="atLeast"/>
              <w:ind w:firstLine="420"/>
              <w:jc w:val="center"/>
              <w:rPr>
                <w:rFonts w:eastAsia="宋体" w:cs="Times New Roman"/>
                <w:sz w:val="21"/>
                <w:szCs w:val="21"/>
              </w:rPr>
            </w:pPr>
          </w:p>
        </w:tc>
        <w:tc>
          <w:tcPr>
            <w:tcW w:w="7383" w:type="dxa"/>
            <w:gridSpan w:val="3"/>
            <w:vAlign w:val="center"/>
          </w:tcPr>
          <w:p w14:paraId="7343C7FE">
            <w:pPr>
              <w:spacing w:line="240" w:lineRule="atLeast"/>
              <w:ind w:firstLine="0" w:firstLineChars="0"/>
              <w:jc w:val="center"/>
              <w:rPr>
                <w:rFonts w:eastAsia="宋体" w:cs="Times New Roman"/>
                <w:sz w:val="21"/>
                <w:szCs w:val="21"/>
              </w:rPr>
            </w:pPr>
          </w:p>
          <w:p w14:paraId="506BF8C3">
            <w:pPr>
              <w:spacing w:line="240" w:lineRule="atLeast"/>
              <w:ind w:firstLine="0" w:firstLineChars="0"/>
              <w:jc w:val="center"/>
              <w:rPr>
                <w:rFonts w:eastAsia="宋体" w:cs="Times New Roman"/>
                <w:sz w:val="21"/>
                <w:szCs w:val="21"/>
              </w:rPr>
            </w:pPr>
            <w:r>
              <w:rPr>
                <w:rFonts w:hint="eastAsia" w:eastAsia="宋体" w:cs="Times New Roman"/>
                <w:sz w:val="21"/>
                <w:szCs w:val="21"/>
              </w:rPr>
              <w:t>无</w:t>
            </w:r>
          </w:p>
        </w:tc>
        <w:tc>
          <w:tcPr>
            <w:tcW w:w="3585" w:type="dxa"/>
            <w:vAlign w:val="center"/>
          </w:tcPr>
          <w:p w14:paraId="0C87DB4E">
            <w:pPr>
              <w:spacing w:line="240" w:lineRule="atLeast"/>
              <w:ind w:firstLine="0" w:firstLineChars="0"/>
              <w:jc w:val="center"/>
              <w:rPr>
                <w:rFonts w:eastAsia="宋体" w:cs="Times New Roman"/>
                <w:sz w:val="21"/>
                <w:szCs w:val="21"/>
              </w:rPr>
            </w:pPr>
            <w:r>
              <w:rPr>
                <w:rFonts w:hint="eastAsia" w:eastAsia="宋体" w:cs="Times New Roman"/>
                <w:sz w:val="21"/>
                <w:szCs w:val="21"/>
              </w:rPr>
              <w:t>大连海宝食品有限公司</w:t>
            </w:r>
          </w:p>
        </w:tc>
        <w:tc>
          <w:tcPr>
            <w:tcW w:w="1605" w:type="dxa"/>
            <w:vAlign w:val="center"/>
          </w:tcPr>
          <w:p w14:paraId="34284D54">
            <w:pPr>
              <w:spacing w:line="240" w:lineRule="atLeast"/>
              <w:ind w:firstLine="0" w:firstLineChars="0"/>
              <w:jc w:val="center"/>
              <w:rPr>
                <w:rFonts w:eastAsia="宋体" w:cs="宋体"/>
                <w:sz w:val="21"/>
                <w:szCs w:val="21"/>
              </w:rPr>
            </w:pPr>
          </w:p>
          <w:p w14:paraId="2FE2E24C">
            <w:pPr>
              <w:spacing w:line="240" w:lineRule="atLeast"/>
              <w:ind w:firstLine="0" w:firstLineChars="0"/>
              <w:jc w:val="center"/>
              <w:rPr>
                <w:rFonts w:eastAsia="宋体" w:cs="Times New Roman"/>
                <w:sz w:val="21"/>
                <w:szCs w:val="21"/>
              </w:rPr>
            </w:pPr>
            <w:r>
              <w:rPr>
                <w:rFonts w:hint="eastAsia" w:eastAsia="宋体" w:cs="宋体"/>
                <w:sz w:val="21"/>
                <w:szCs w:val="21"/>
              </w:rPr>
              <w:t>采纳</w:t>
            </w:r>
          </w:p>
        </w:tc>
        <w:tc>
          <w:tcPr>
            <w:tcW w:w="2099" w:type="dxa"/>
          </w:tcPr>
          <w:p w14:paraId="0440BF1B">
            <w:pPr>
              <w:spacing w:line="240" w:lineRule="atLeast"/>
              <w:ind w:firstLine="0" w:firstLineChars="0"/>
              <w:rPr>
                <w:rFonts w:eastAsia="宋体" w:cs="Times New Roman"/>
                <w:sz w:val="21"/>
                <w:szCs w:val="21"/>
              </w:rPr>
            </w:pPr>
          </w:p>
        </w:tc>
      </w:tr>
      <w:tr w14:paraId="23E47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8" w:type="dxa"/>
            <w:vAlign w:val="center"/>
          </w:tcPr>
          <w:p w14:paraId="3DAC673C">
            <w:pPr>
              <w:numPr>
                <w:ilvl w:val="0"/>
                <w:numId w:val="3"/>
              </w:numPr>
              <w:spacing w:line="240" w:lineRule="atLeast"/>
              <w:ind w:firstLine="420"/>
              <w:jc w:val="center"/>
              <w:rPr>
                <w:rFonts w:eastAsia="宋体" w:cs="Times New Roman"/>
                <w:sz w:val="21"/>
                <w:szCs w:val="21"/>
              </w:rPr>
            </w:pPr>
          </w:p>
        </w:tc>
        <w:tc>
          <w:tcPr>
            <w:tcW w:w="7383" w:type="dxa"/>
            <w:gridSpan w:val="3"/>
            <w:vAlign w:val="center"/>
          </w:tcPr>
          <w:p w14:paraId="4055829B">
            <w:pPr>
              <w:spacing w:line="240" w:lineRule="atLeast"/>
              <w:ind w:firstLine="0" w:firstLineChars="0"/>
              <w:jc w:val="center"/>
              <w:rPr>
                <w:rFonts w:eastAsia="宋体" w:cs="Times New Roman"/>
                <w:sz w:val="21"/>
                <w:szCs w:val="21"/>
              </w:rPr>
            </w:pPr>
          </w:p>
          <w:p w14:paraId="47C88CD6">
            <w:pPr>
              <w:spacing w:line="240" w:lineRule="atLeast"/>
              <w:ind w:firstLine="0" w:firstLineChars="0"/>
              <w:jc w:val="center"/>
              <w:rPr>
                <w:rFonts w:eastAsia="宋体" w:cs="Times New Roman"/>
                <w:sz w:val="21"/>
                <w:szCs w:val="21"/>
              </w:rPr>
            </w:pPr>
            <w:r>
              <w:rPr>
                <w:rFonts w:hint="eastAsia" w:eastAsia="宋体" w:cs="Times New Roman"/>
                <w:sz w:val="21"/>
                <w:szCs w:val="21"/>
              </w:rPr>
              <w:t>无</w:t>
            </w:r>
          </w:p>
        </w:tc>
        <w:tc>
          <w:tcPr>
            <w:tcW w:w="3585" w:type="dxa"/>
            <w:vAlign w:val="center"/>
          </w:tcPr>
          <w:p w14:paraId="3D0CBD86">
            <w:pPr>
              <w:spacing w:line="240" w:lineRule="atLeast"/>
              <w:ind w:firstLine="0" w:firstLineChars="0"/>
              <w:jc w:val="center"/>
              <w:rPr>
                <w:rFonts w:eastAsia="宋体" w:cs="Times New Roman"/>
                <w:sz w:val="21"/>
                <w:szCs w:val="21"/>
              </w:rPr>
            </w:pPr>
            <w:r>
              <w:rPr>
                <w:rFonts w:hint="eastAsia" w:eastAsia="宋体" w:cs="Times New Roman"/>
                <w:sz w:val="21"/>
                <w:szCs w:val="21"/>
              </w:rPr>
              <w:t>北京同仁堂健康（大连）海洋食品有限公司</w:t>
            </w:r>
          </w:p>
        </w:tc>
        <w:tc>
          <w:tcPr>
            <w:tcW w:w="1605" w:type="dxa"/>
            <w:vAlign w:val="center"/>
          </w:tcPr>
          <w:p w14:paraId="74A90362">
            <w:pPr>
              <w:spacing w:line="240" w:lineRule="atLeast"/>
              <w:ind w:firstLine="0" w:firstLineChars="0"/>
              <w:jc w:val="center"/>
              <w:rPr>
                <w:rFonts w:eastAsia="宋体" w:cs="宋体"/>
                <w:sz w:val="21"/>
                <w:szCs w:val="21"/>
              </w:rPr>
            </w:pPr>
          </w:p>
          <w:p w14:paraId="62202C5B">
            <w:pPr>
              <w:spacing w:line="240" w:lineRule="atLeast"/>
              <w:ind w:firstLine="0" w:firstLineChars="0"/>
              <w:jc w:val="center"/>
              <w:rPr>
                <w:rFonts w:eastAsia="宋体" w:cs="Times New Roman"/>
                <w:sz w:val="21"/>
                <w:szCs w:val="21"/>
              </w:rPr>
            </w:pPr>
            <w:r>
              <w:rPr>
                <w:rFonts w:hint="eastAsia" w:eastAsia="宋体" w:cs="宋体"/>
                <w:sz w:val="21"/>
                <w:szCs w:val="21"/>
              </w:rPr>
              <w:t>采纳</w:t>
            </w:r>
          </w:p>
        </w:tc>
        <w:tc>
          <w:tcPr>
            <w:tcW w:w="2099" w:type="dxa"/>
          </w:tcPr>
          <w:p w14:paraId="6DAF0C88">
            <w:pPr>
              <w:spacing w:line="240" w:lineRule="atLeast"/>
              <w:ind w:firstLine="0" w:firstLineChars="0"/>
              <w:rPr>
                <w:rFonts w:eastAsia="宋体" w:cs="Times New Roman"/>
                <w:sz w:val="21"/>
                <w:szCs w:val="21"/>
              </w:rPr>
            </w:pPr>
          </w:p>
        </w:tc>
      </w:tr>
    </w:tbl>
    <w:p w14:paraId="6CE59CE8">
      <w:pPr>
        <w:widowControl/>
        <w:ind w:firstLine="198" w:firstLineChars="64"/>
        <w:jc w:val="left"/>
        <w:rPr>
          <w:rFonts w:ascii="方正仿宋_GB2312" w:hAnsi="方正仿宋_GB2312" w:eastAsia="方正仿宋_GB2312" w:cs="方正仿宋_GB2312"/>
          <w:color w:val="000000"/>
          <w:kern w:val="0"/>
          <w:sz w:val="31"/>
          <w:szCs w:val="31"/>
          <w:lang w:bidi="ar"/>
        </w:rPr>
        <w:sectPr>
          <w:pgSz w:w="16838" w:h="11906" w:orient="landscape"/>
          <w:pgMar w:top="1800" w:right="1440" w:bottom="1800" w:left="1440" w:header="851" w:footer="992" w:gutter="0"/>
          <w:cols w:space="720" w:num="1"/>
          <w:docGrid w:type="lines" w:linePitch="312" w:charSpace="0"/>
        </w:sectPr>
      </w:pPr>
    </w:p>
    <w:p w14:paraId="3740CC59">
      <w:pPr>
        <w:numPr>
          <w:ilvl w:val="0"/>
          <w:numId w:val="1"/>
        </w:num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标准编制原则和确定地方标准主要内容(如技术指标、参数、公式、性能要求、试验方法、检验规则等)的论据(包括实验过程、统计数据、分析报告等)</w:t>
      </w:r>
    </w:p>
    <w:p w14:paraId="144B57C3">
      <w:pPr>
        <w:widowControl/>
        <w:ind w:firstLine="640"/>
        <w:jc w:val="left"/>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（一）标准编制原则</w:t>
      </w:r>
    </w:p>
    <w:p w14:paraId="76658387">
      <w:pPr>
        <w:widowControl/>
        <w:ind w:firstLine="640"/>
        <w:jc w:val="left"/>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1.科学性原则 </w:t>
      </w:r>
    </w:p>
    <w:p w14:paraId="0D1A3C43">
      <w:pPr>
        <w:widowControl/>
        <w:ind w:firstLine="640"/>
        <w:jc w:val="left"/>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通过深入研究国家层面数字化车间标准要求，遵循科学性的标准编制要求，运用科学严谨的方法建立了本文件。从科学客观的角度出发，以我市预制菜企业大连瑞驰食品有限公司的先进经验为依据，确保标准的合理性和适用性。 </w:t>
      </w:r>
    </w:p>
    <w:p w14:paraId="43CB232F">
      <w:pPr>
        <w:widowControl/>
        <w:ind w:firstLine="640"/>
        <w:jc w:val="left"/>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2.可行性原则 </w:t>
      </w:r>
    </w:p>
    <w:p w14:paraId="7CC5B449">
      <w:pPr>
        <w:widowControl/>
        <w:ind w:firstLine="640"/>
        <w:jc w:val="left"/>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标准的制定应与经济、技术发展水平和相关方的承受能力相适。本文件在参考国内标准的基础上，充分考虑了我市预制菜企业现状、辽宁省对于企业智能化改造的要求、大连市对于预制菜企业智能化改造的要求，保证了标准的可行性。 </w:t>
      </w:r>
    </w:p>
    <w:p w14:paraId="0CA93628">
      <w:pPr>
        <w:widowControl/>
        <w:ind w:firstLine="640"/>
        <w:jc w:val="left"/>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3.规范性原则 </w:t>
      </w:r>
    </w:p>
    <w:p w14:paraId="14756296">
      <w:pPr>
        <w:widowControl/>
        <w:ind w:firstLine="640"/>
        <w:jc w:val="left"/>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本文件依据 </w:t>
      </w:r>
      <w:r>
        <w:rPr>
          <w:rFonts w:ascii="方正仿宋_GB2312" w:hAnsi="方正仿宋_GB2312" w:eastAsia="方正仿宋_GB2312" w:cs="方正仿宋_GB2312"/>
          <w:szCs w:val="32"/>
        </w:rPr>
        <w:t>GB/T 1.1</w:t>
      </w:r>
      <w:r>
        <w:rPr>
          <w:rFonts w:hint="eastAsia" w:ascii="方正仿宋_GB2312" w:hAnsi="方正仿宋_GB2312" w:eastAsia="方正仿宋_GB2312" w:cs="方正仿宋_GB2312"/>
          <w:szCs w:val="32"/>
        </w:rPr>
        <w:t>—</w:t>
      </w:r>
      <w:r>
        <w:rPr>
          <w:rFonts w:ascii="方正仿宋_GB2312" w:hAnsi="方正仿宋_GB2312" w:eastAsia="方正仿宋_GB2312" w:cs="方正仿宋_GB2312"/>
          <w:szCs w:val="32"/>
        </w:rPr>
        <w:t>2020</w:t>
      </w:r>
      <w:r>
        <w:rPr>
          <w:rFonts w:hint="eastAsia" w:ascii="方正仿宋_GB2312" w:hAnsi="方正仿宋_GB2312" w:eastAsia="方正仿宋_GB2312" w:cs="方正仿宋_GB2312"/>
          <w:szCs w:val="32"/>
        </w:rPr>
        <w:t>《标准化工作导则</w:t>
      </w:r>
      <w:r>
        <w:rPr>
          <w:rFonts w:ascii="方正仿宋_GB2312" w:hAnsi="方正仿宋_GB2312" w:eastAsia="方正仿宋_GB2312" w:cs="方正仿宋_GB2312"/>
          <w:szCs w:val="32"/>
        </w:rPr>
        <w:t xml:space="preserve"> </w:t>
      </w:r>
      <w:r>
        <w:rPr>
          <w:rFonts w:hint="eastAsia" w:ascii="方正仿宋_GB2312" w:hAnsi="方正仿宋_GB2312" w:eastAsia="方正仿宋_GB2312" w:cs="方正仿宋_GB2312"/>
          <w:szCs w:val="32"/>
        </w:rPr>
        <w:t xml:space="preserve">第 </w:t>
      </w:r>
      <w:r>
        <w:rPr>
          <w:rFonts w:ascii="方正仿宋_GB2312" w:hAnsi="方正仿宋_GB2312" w:eastAsia="方正仿宋_GB2312" w:cs="方正仿宋_GB2312"/>
          <w:szCs w:val="32"/>
        </w:rPr>
        <w:t xml:space="preserve">1 </w:t>
      </w:r>
      <w:r>
        <w:rPr>
          <w:rFonts w:hint="eastAsia" w:ascii="方正仿宋_GB2312" w:hAnsi="方正仿宋_GB2312" w:eastAsia="方正仿宋_GB2312" w:cs="方正仿宋_GB2312"/>
          <w:szCs w:val="32"/>
        </w:rPr>
        <w:t>部分：标准化文件的结构和起草规则》、GB/T 20001.7-2017《标准编写规则 第7部分：指南标准》的要求进行编制，保证了规范性。</w:t>
      </w:r>
    </w:p>
    <w:p w14:paraId="7F66F91C">
      <w:pPr>
        <w:ind w:left="640" w:leftChars="200" w:firstLine="0" w:firstLineChars="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 xml:space="preserve">（二）标准主要内容 </w:t>
      </w:r>
    </w:p>
    <w:p w14:paraId="68EEEAF9">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本标准共9章，主要内容包括：范围、规范性引用文件、术语和定义、缩略语、建设原则、需考虑的因素、建设内容、实施指南、预制菜行业智能化设备等。</w:t>
      </w:r>
    </w:p>
    <w:p w14:paraId="5E0CD30D">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1范围</w:t>
      </w:r>
    </w:p>
    <w:p w14:paraId="0D2BE7CF">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本文件提供了预制菜生产企业数字化车间的建设原则、需考虑的因素、参考模型、建设内容、实施内容和预制菜行业智能化设备的相关信息。</w:t>
      </w:r>
    </w:p>
    <w:p w14:paraId="1446CB67">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本文件适用于指导预制菜生产企业数字化车间的新建、扩建和改造</w:t>
      </w:r>
      <w:r>
        <w:rPr>
          <w:rFonts w:ascii="方正仿宋_GB2312" w:hAnsi="方正仿宋_GB2312" w:eastAsia="方正仿宋_GB2312" w:cs="方正仿宋_GB2312"/>
          <w:szCs w:val="32"/>
        </w:rPr>
        <w:t>。</w:t>
      </w:r>
    </w:p>
    <w:p w14:paraId="222858F2">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2规范性引用文件</w:t>
      </w:r>
    </w:p>
    <w:p w14:paraId="76DFFC83">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本文件引用了3项国家标准和2项地方标准，主要涉及数字化车间术语和定义、通用要求和评价通则等相关内容。</w:t>
      </w:r>
    </w:p>
    <w:p w14:paraId="60744A29">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3术语和定义</w:t>
      </w:r>
    </w:p>
    <w:p w14:paraId="2D77FD1E">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GB/T 37413界定的术语和定义适用于本文件。</w:t>
      </w:r>
    </w:p>
    <w:p w14:paraId="60E57497">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4缩略语</w:t>
      </w:r>
    </w:p>
    <w:p w14:paraId="2BC26766">
      <w:pPr>
        <w:ind w:firstLine="640"/>
        <w:rPr>
          <w:rFonts w:ascii="方正仿宋_GB2312" w:hAnsi="方正仿宋_GB2312" w:eastAsia="方正仿宋_GB2312" w:cs="方正仿宋_GB2312"/>
          <w:szCs w:val="32"/>
        </w:rPr>
      </w:pPr>
      <w:r>
        <w:rPr>
          <w:rFonts w:ascii="方正仿宋_GB2312" w:hAnsi="方正仿宋_GB2312" w:eastAsia="方正仿宋_GB2312" w:cs="方正仿宋_GB2312"/>
          <w:szCs w:val="32"/>
        </w:rPr>
        <w:t>给出了正文中涉及到的</w:t>
      </w:r>
      <w:r>
        <w:rPr>
          <w:rFonts w:hint="eastAsia" w:ascii="方正仿宋_GB2312" w:hAnsi="方正仿宋_GB2312" w:eastAsia="方正仿宋_GB2312" w:cs="方正仿宋_GB2312"/>
          <w:szCs w:val="32"/>
        </w:rPr>
        <w:t>14个</w:t>
      </w:r>
      <w:r>
        <w:rPr>
          <w:rFonts w:ascii="方正仿宋_GB2312" w:hAnsi="方正仿宋_GB2312" w:eastAsia="方正仿宋_GB2312" w:cs="方正仿宋_GB2312"/>
          <w:szCs w:val="32"/>
        </w:rPr>
        <w:t>缩略语含义。</w:t>
      </w:r>
    </w:p>
    <w:p w14:paraId="78D7430F">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5建设原则</w:t>
      </w:r>
    </w:p>
    <w:p w14:paraId="02A5F2A9">
      <w:pPr>
        <w:ind w:firstLine="640"/>
        <w:rPr>
          <w:rFonts w:ascii="方正仿宋_GB2312" w:hAnsi="方正仿宋_GB2312" w:eastAsia="方正仿宋_GB2312" w:cs="方正仿宋_GB2312"/>
          <w:szCs w:val="32"/>
        </w:rPr>
      </w:pPr>
      <w:r>
        <w:rPr>
          <w:rFonts w:ascii="方正仿宋_GB2312" w:hAnsi="方正仿宋_GB2312" w:eastAsia="方正仿宋_GB2312" w:cs="方正仿宋_GB2312"/>
          <w:szCs w:val="32"/>
        </w:rPr>
        <w:t>给出了统一规划、数据共享、安全可靠、灵活扩展、环保节能等建设原则。</w:t>
      </w:r>
    </w:p>
    <w:p w14:paraId="45B96E84">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【编制依据】结合国家政策、</w:t>
      </w:r>
      <w:r>
        <w:rPr>
          <w:rFonts w:ascii="方正仿宋_GB2312" w:hAnsi="方正仿宋_GB2312" w:eastAsia="方正仿宋_GB2312" w:cs="方正仿宋_GB2312"/>
          <w:szCs w:val="32"/>
        </w:rPr>
        <w:t>GB/T 37413、</w:t>
      </w:r>
      <w:r>
        <w:rPr>
          <w:rFonts w:hint="eastAsia" w:ascii="方正仿宋_GB2312" w:hAnsi="方正仿宋_GB2312" w:eastAsia="方正仿宋_GB2312" w:cs="方正仿宋_GB2312"/>
          <w:szCs w:val="32"/>
        </w:rPr>
        <w:t>DB21/T 3869  数字化车间和智能工</w:t>
      </w:r>
      <w:r>
        <w:rPr>
          <w:rFonts w:hint="eastAsia" w:ascii="宋体" w:hAnsi="宋体" w:eastAsia="宋体" w:cs="宋体"/>
          <w:szCs w:val="32"/>
        </w:rPr>
        <w:t>厂</w:t>
      </w:r>
      <w:r>
        <w:rPr>
          <w:rFonts w:hint="eastAsia" w:ascii="___WRD_EMBED_SUB_325" w:hAnsi="___WRD_EMBED_SUB_325" w:eastAsia="___WRD_EMBED_SUB_325" w:cs="___WRD_EMBED_SUB_325"/>
          <w:szCs w:val="32"/>
        </w:rPr>
        <w:t>评价通</w:t>
      </w:r>
      <w:r>
        <w:rPr>
          <w:rFonts w:hint="eastAsia" w:ascii="方正仿宋_GB2312" w:hAnsi="方正仿宋_GB2312" w:eastAsia="方正仿宋_GB2312" w:cs="方正仿宋_GB2312"/>
          <w:szCs w:val="32"/>
        </w:rPr>
        <w:t>则及企业数字化车间建设需求。</w:t>
      </w:r>
    </w:p>
    <w:p w14:paraId="0FE6BDBF">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6 需考虑的因素</w:t>
      </w:r>
      <w:r>
        <w:rPr>
          <w:rFonts w:ascii="方正仿宋_GB2312" w:hAnsi="方正仿宋_GB2312" w:eastAsia="方正仿宋_GB2312" w:cs="方正仿宋_GB2312"/>
          <w:szCs w:val="32"/>
        </w:rPr>
        <w:t xml:space="preserve"> </w:t>
      </w:r>
    </w:p>
    <w:p w14:paraId="2C961DAC">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本章给出了开展预制菜车间建设时考虑的系统层级、行业特性、数字化设备联网、采集数据实时化、实时监控、建立车间级工业通讯网络、完善的工业信息安全技术安全体系、数字化建设模型</w:t>
      </w:r>
      <w:r>
        <w:rPr>
          <w:rFonts w:ascii="方正仿宋_GB2312" w:hAnsi="方正仿宋_GB2312" w:eastAsia="方正仿宋_GB2312" w:cs="方正仿宋_GB2312"/>
          <w:szCs w:val="32"/>
        </w:rPr>
        <w:t>等信息。</w:t>
      </w:r>
    </w:p>
    <w:p w14:paraId="0F3C59D3">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【编制依据】参考</w:t>
      </w:r>
      <w:r>
        <w:rPr>
          <w:rFonts w:ascii="方正仿宋_GB2312" w:hAnsi="方正仿宋_GB2312" w:eastAsia="方正仿宋_GB2312" w:cs="方正仿宋_GB2312"/>
          <w:szCs w:val="32"/>
        </w:rPr>
        <w:t>GB/T 37413、</w:t>
      </w:r>
      <w:r>
        <w:rPr>
          <w:rFonts w:hint="eastAsia" w:ascii="方正仿宋_GB2312" w:hAnsi="方正仿宋_GB2312" w:eastAsia="方正仿宋_GB2312" w:cs="方正仿宋_GB2312"/>
          <w:szCs w:val="32"/>
        </w:rPr>
        <w:t>GB/T</w:t>
      </w:r>
      <w:r>
        <w:rPr>
          <w:rFonts w:ascii="方正仿宋_GB2312" w:hAnsi="方正仿宋_GB2312" w:eastAsia="方正仿宋_GB2312" w:cs="方正仿宋_GB2312"/>
          <w:szCs w:val="32"/>
        </w:rPr>
        <w:t> </w:t>
      </w:r>
      <w:r>
        <w:rPr>
          <w:rFonts w:hint="eastAsia" w:ascii="方正仿宋_GB2312" w:hAnsi="方正仿宋_GB2312" w:eastAsia="方正仿宋_GB2312" w:cs="方正仿宋_GB2312"/>
          <w:szCs w:val="32"/>
        </w:rPr>
        <w:t>41392-2022  数字化车间可</w:t>
      </w:r>
      <w:r>
        <w:rPr>
          <w:rFonts w:hint="eastAsia" w:ascii="宋体" w:hAnsi="宋体" w:eastAsia="宋体" w:cs="宋体"/>
          <w:szCs w:val="32"/>
        </w:rPr>
        <w:t>靠</w:t>
      </w:r>
      <w:r>
        <w:rPr>
          <w:rFonts w:hint="eastAsia" w:ascii="___WRD_EMBED_SUB_325" w:hAnsi="___WRD_EMBED_SUB_325" w:eastAsia="___WRD_EMBED_SUB_325" w:cs="___WRD_EMBED_SUB_325"/>
          <w:szCs w:val="32"/>
        </w:rPr>
        <w:t>性通用要</w:t>
      </w:r>
      <w:r>
        <w:rPr>
          <w:rFonts w:hint="eastAsia" w:ascii="方正仿宋_GB2312" w:hAnsi="方正仿宋_GB2312" w:eastAsia="方正仿宋_GB2312" w:cs="方正仿宋_GB2312"/>
          <w:szCs w:val="32"/>
        </w:rPr>
        <w:t>求、大连瑞驰食品有限公司现有数字化车间建设模式等。</w:t>
      </w:r>
    </w:p>
    <w:p w14:paraId="5F279591">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7建设内容</w:t>
      </w:r>
    </w:p>
    <w:p w14:paraId="1B03E5B3">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本章从信息化框架设计、自动化架构设计、组织管理集成化设计和设计过程的监控等角度给出了相关信息</w:t>
      </w:r>
      <w:r>
        <w:rPr>
          <w:rFonts w:ascii="方正仿宋_GB2312" w:hAnsi="方正仿宋_GB2312" w:eastAsia="方正仿宋_GB2312" w:cs="方正仿宋_GB2312"/>
          <w:szCs w:val="32"/>
        </w:rPr>
        <w:t>。</w:t>
      </w:r>
    </w:p>
    <w:p w14:paraId="170450AC">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【编制依据】参考</w:t>
      </w:r>
      <w:r>
        <w:rPr>
          <w:rFonts w:ascii="方正仿宋_GB2312" w:hAnsi="方正仿宋_GB2312" w:eastAsia="方正仿宋_GB2312" w:cs="方正仿宋_GB2312"/>
          <w:szCs w:val="32"/>
        </w:rPr>
        <w:t>GB/T 37413、</w:t>
      </w:r>
      <w:r>
        <w:rPr>
          <w:rFonts w:hint="eastAsia" w:ascii="宋体" w:hAnsi="宋体" w:eastAsia="宋体" w:cs="宋体"/>
          <w:szCs w:val="32"/>
        </w:rPr>
        <w:t>D</w:t>
      </w:r>
      <w:r>
        <w:rPr>
          <w:rFonts w:ascii="方正仿宋_GB2312" w:hAnsi="方正仿宋_GB2312" w:eastAsia="方正仿宋_GB2312" w:cs="方正仿宋_GB2312"/>
          <w:szCs w:val="32"/>
        </w:rPr>
        <w:t>B2102/T 0127</w:t>
      </w:r>
      <w:r>
        <w:rPr>
          <w:rFonts w:hint="eastAsia" w:ascii="方正仿宋_GB2312" w:hAnsi="方正仿宋_GB2312" w:eastAsia="方正仿宋_GB2312" w:cs="方正仿宋_GB2312"/>
          <w:szCs w:val="32"/>
        </w:rPr>
        <w:t>。</w:t>
      </w:r>
    </w:p>
    <w:p w14:paraId="1F367CA7">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8实施指南</w:t>
      </w:r>
    </w:p>
    <w:p w14:paraId="47A6912F">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章围绕预制菜企业的数字化车间应用场景和应用过程给出了生产过程实时监控、自动加工数字化生产线、智能仓储物流管理、产品研发管理、能源管控、系统集成优化、信息基础设施、生产过程实时调度、物料配送自动化、产品质量信息可追溯、安全生产水平的等方面内容，为预制菜企业数字化车间的改造实施提供了建议。</w:t>
      </w:r>
    </w:p>
    <w:p w14:paraId="1916B33E">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【编制依据】围绕国家级智能制造数字化车间经典案例及目前数字化车间应用经验提炼而来。</w:t>
      </w:r>
      <w:r>
        <w:rPr>
          <w:rFonts w:ascii="方正仿宋_GB2312" w:hAnsi="方正仿宋_GB2312" w:eastAsia="方正仿宋_GB2312" w:cs="方正仿宋_GB2312"/>
          <w:szCs w:val="32"/>
        </w:rPr>
        <w:t xml:space="preserve"> </w:t>
      </w:r>
    </w:p>
    <w:p w14:paraId="3156CA12">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9 智能化设备</w:t>
      </w:r>
    </w:p>
    <w:p w14:paraId="4B2390CA">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本章结合大连市预制菜企业特点给出了数字化车间内智能化设备数量、智能化设备能力和常见的智能化设备类型。</w:t>
      </w:r>
    </w:p>
    <w:p w14:paraId="05D410AD">
      <w:pPr>
        <w:numPr>
          <w:ilvl w:val="0"/>
          <w:numId w:val="1"/>
        </w:num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主要试验（或验证）的分析、综述报告，技术经济论证，预期经济社会生态效益分析</w:t>
      </w:r>
    </w:p>
    <w:p w14:paraId="004A92AE">
      <w:p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1.主要验证的分析、综述报告</w:t>
      </w:r>
    </w:p>
    <w:p w14:paraId="36FC1CD5">
      <w:pPr>
        <w:ind w:firstLine="640"/>
        <w:rPr>
          <w:color w:val="000000"/>
          <w:szCs w:val="21"/>
        </w:rPr>
      </w:pPr>
      <w:r>
        <w:rPr>
          <w:color w:val="000000"/>
          <w:szCs w:val="21"/>
        </w:rPr>
        <w:t>一是充分研究《辽宁省数字化车间、智能化工厂规范条件（暂行）》、《</w:t>
      </w:r>
      <w:r>
        <w:rPr>
          <w:rFonts w:hint="eastAsia"/>
          <w:color w:val="000000"/>
          <w:szCs w:val="21"/>
        </w:rPr>
        <w:t>辽宁省数字化车间、智能工厂建设指南</w:t>
      </w:r>
      <w:r>
        <w:rPr>
          <w:color w:val="000000"/>
          <w:szCs w:val="21"/>
        </w:rPr>
        <w:t>》、《制造业数字化智能化典型应用场景参考指引》、</w:t>
      </w:r>
      <w:r>
        <w:rPr>
          <w:rFonts w:hint="eastAsia"/>
          <w:color w:val="000000"/>
          <w:szCs w:val="21"/>
        </w:rPr>
        <w:t>GB/T 23001—2017《信息化和工业化融合管理体系 要求》、GB/T 23022—2022《信息化和工业化融合管理体系 生产设备运行管理规范》、GB/T</w:t>
      </w:r>
      <w:r>
        <w:rPr>
          <w:rFonts w:ascii="方正仿宋_GB2312" w:hAnsi="方正仿宋_GB2312" w:eastAsia="方正仿宋_GB2312" w:cs="方正仿宋_GB2312"/>
          <w:szCs w:val="32"/>
        </w:rPr>
        <w:t xml:space="preserve"> 37413</w:t>
      </w:r>
      <w:r>
        <w:rPr>
          <w:rFonts w:hint="eastAsia" w:ascii="方正仿宋_GB2312" w:hAnsi="方正仿宋_GB2312" w:eastAsia="方正仿宋_GB2312" w:cs="方正仿宋_GB2312"/>
          <w:szCs w:val="32"/>
        </w:rPr>
        <w:t xml:space="preserve"> 数字化车间 通用要求等文件</w:t>
      </w:r>
      <w:r>
        <w:rPr>
          <w:rFonts w:hint="eastAsia"/>
          <w:color w:val="000000"/>
          <w:szCs w:val="21"/>
        </w:rPr>
        <w:t xml:space="preserve"> ，在此基础上，研究适合我市预制菜企业智能化改造的标准指南。</w:t>
      </w:r>
    </w:p>
    <w:p w14:paraId="11BDB0A1">
      <w:pPr>
        <w:ind w:firstLine="640"/>
        <w:rPr>
          <w:color w:val="000000"/>
          <w:szCs w:val="21"/>
        </w:rPr>
      </w:pPr>
      <w:r>
        <w:rPr>
          <w:rFonts w:hint="eastAsia"/>
          <w:color w:val="000000"/>
          <w:szCs w:val="21"/>
        </w:rPr>
        <w:t>二是选取大连瑞驰食品有限公司、獐子岛集团股份有限公司、大连浩和食品有限公司等龙头企业，开展标准内容验证，其中瑞驰食品于2022年通过辽宁省数字化车间名单，大连浩和食品正在建设数字化工厂。经过验证瑞驰食品数字化车间应用情况如下：</w:t>
      </w:r>
    </w:p>
    <w:tbl>
      <w:tblPr>
        <w:tblStyle w:val="8"/>
        <w:tblW w:w="86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
        <w:gridCol w:w="816"/>
        <w:gridCol w:w="1701"/>
        <w:gridCol w:w="1276"/>
        <w:gridCol w:w="2693"/>
        <w:gridCol w:w="1655"/>
      </w:tblGrid>
      <w:tr w14:paraId="4A6F2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ABBFEEB">
            <w:pPr>
              <w:spacing w:line="240" w:lineRule="auto"/>
              <w:ind w:firstLine="0" w:firstLineChars="0"/>
              <w:jc w:val="center"/>
              <w:rPr>
                <w:rFonts w:ascii="Calibri" w:hAnsi="Calibri" w:cs="Times New Roman"/>
                <w:b/>
                <w:color w:val="000000"/>
                <w:sz w:val="24"/>
                <w:szCs w:val="24"/>
              </w:rPr>
            </w:pPr>
            <w:r>
              <w:rPr>
                <w:rFonts w:ascii="Calibri" w:hAnsi="Calibri" w:cs="Times New Roman"/>
                <w:b/>
                <w:color w:val="000000"/>
                <w:sz w:val="24"/>
                <w:szCs w:val="24"/>
              </w:rPr>
              <w:t>序号</w:t>
            </w:r>
          </w:p>
        </w:tc>
        <w:tc>
          <w:tcPr>
            <w:tcW w:w="816" w:type="dxa"/>
            <w:vAlign w:val="center"/>
          </w:tcPr>
          <w:p w14:paraId="30078D1D">
            <w:pPr>
              <w:spacing w:line="240" w:lineRule="auto"/>
              <w:ind w:firstLine="0" w:firstLineChars="0"/>
              <w:jc w:val="center"/>
              <w:rPr>
                <w:rFonts w:ascii="Calibri" w:hAnsi="Calibri" w:cs="Times New Roman"/>
                <w:b/>
                <w:color w:val="000000"/>
                <w:sz w:val="24"/>
                <w:szCs w:val="24"/>
              </w:rPr>
            </w:pPr>
            <w:r>
              <w:rPr>
                <w:rFonts w:hint="eastAsia" w:ascii="Calibri" w:hAnsi="Calibri" w:cs="Times New Roman"/>
                <w:b/>
                <w:color w:val="000000"/>
                <w:sz w:val="24"/>
                <w:szCs w:val="24"/>
              </w:rPr>
              <w:t>应用</w:t>
            </w:r>
            <w:r>
              <w:rPr>
                <w:rFonts w:ascii="Calibri" w:hAnsi="Calibri" w:cs="Times New Roman"/>
                <w:b/>
                <w:color w:val="000000"/>
                <w:sz w:val="24"/>
                <w:szCs w:val="24"/>
              </w:rPr>
              <w:t>场景</w:t>
            </w:r>
          </w:p>
        </w:tc>
        <w:tc>
          <w:tcPr>
            <w:tcW w:w="1701" w:type="dxa"/>
            <w:vAlign w:val="center"/>
          </w:tcPr>
          <w:p w14:paraId="4E4ABDF3">
            <w:pPr>
              <w:spacing w:line="240" w:lineRule="auto"/>
              <w:ind w:firstLine="0" w:firstLineChars="0"/>
              <w:jc w:val="center"/>
              <w:rPr>
                <w:rFonts w:ascii="Calibri" w:hAnsi="Calibri" w:cs="Times New Roman"/>
                <w:b/>
                <w:color w:val="000000"/>
                <w:sz w:val="24"/>
                <w:szCs w:val="24"/>
              </w:rPr>
            </w:pPr>
            <w:r>
              <w:rPr>
                <w:rFonts w:hint="eastAsia" w:ascii="Calibri" w:hAnsi="Calibri" w:cs="Times New Roman"/>
                <w:b/>
                <w:color w:val="000000"/>
                <w:sz w:val="24"/>
                <w:szCs w:val="24"/>
              </w:rPr>
              <w:t>物理</w:t>
            </w:r>
            <w:r>
              <w:rPr>
                <w:rFonts w:ascii="Calibri" w:hAnsi="Calibri" w:cs="Times New Roman"/>
                <w:b/>
                <w:color w:val="000000"/>
                <w:sz w:val="24"/>
                <w:szCs w:val="24"/>
              </w:rPr>
              <w:t>场景描述</w:t>
            </w:r>
          </w:p>
        </w:tc>
        <w:tc>
          <w:tcPr>
            <w:tcW w:w="1276" w:type="dxa"/>
            <w:vAlign w:val="center"/>
          </w:tcPr>
          <w:p w14:paraId="59AEC0DC">
            <w:pPr>
              <w:spacing w:line="240" w:lineRule="auto"/>
              <w:ind w:firstLine="0" w:firstLineChars="0"/>
              <w:jc w:val="center"/>
              <w:rPr>
                <w:rFonts w:ascii="Calibri" w:hAnsi="Calibri" w:cs="Times New Roman"/>
                <w:b/>
                <w:color w:val="000000"/>
                <w:sz w:val="24"/>
                <w:szCs w:val="24"/>
              </w:rPr>
            </w:pPr>
            <w:r>
              <w:rPr>
                <w:rFonts w:hint="eastAsia" w:ascii="Calibri" w:hAnsi="Calibri" w:cs="Times New Roman"/>
                <w:b/>
                <w:color w:val="000000"/>
                <w:sz w:val="24"/>
                <w:szCs w:val="24"/>
              </w:rPr>
              <w:t>解决的</w:t>
            </w:r>
            <w:r>
              <w:rPr>
                <w:rFonts w:ascii="Calibri" w:hAnsi="Calibri" w:cs="Times New Roman"/>
                <w:b/>
                <w:color w:val="000000"/>
                <w:sz w:val="24"/>
                <w:szCs w:val="24"/>
              </w:rPr>
              <w:t>痛点</w:t>
            </w:r>
            <w:r>
              <w:rPr>
                <w:rFonts w:hint="eastAsia" w:ascii="Calibri" w:hAnsi="Calibri" w:cs="Times New Roman"/>
                <w:b/>
                <w:color w:val="000000"/>
                <w:sz w:val="24"/>
                <w:szCs w:val="24"/>
              </w:rPr>
              <w:t>堵点</w:t>
            </w:r>
          </w:p>
          <w:p w14:paraId="6244D736">
            <w:pPr>
              <w:spacing w:line="240" w:lineRule="auto"/>
              <w:ind w:firstLine="0" w:firstLineChars="0"/>
              <w:jc w:val="center"/>
              <w:rPr>
                <w:rFonts w:ascii="Calibri" w:hAnsi="Calibri" w:cs="Times New Roman"/>
                <w:b/>
                <w:color w:val="000000"/>
                <w:sz w:val="24"/>
                <w:szCs w:val="24"/>
              </w:rPr>
            </w:pPr>
            <w:r>
              <w:rPr>
                <w:rFonts w:ascii="Calibri" w:hAnsi="Calibri" w:cs="Times New Roman"/>
                <w:b/>
                <w:color w:val="000000"/>
                <w:sz w:val="24"/>
                <w:szCs w:val="24"/>
              </w:rPr>
              <w:t>问题</w:t>
            </w:r>
          </w:p>
        </w:tc>
        <w:tc>
          <w:tcPr>
            <w:tcW w:w="2693" w:type="dxa"/>
            <w:vAlign w:val="center"/>
          </w:tcPr>
          <w:p w14:paraId="09C4A273">
            <w:pPr>
              <w:spacing w:line="240" w:lineRule="auto"/>
              <w:ind w:firstLine="0" w:firstLineChars="0"/>
              <w:jc w:val="center"/>
              <w:rPr>
                <w:rFonts w:ascii="Calibri" w:hAnsi="Calibri" w:cs="Times New Roman"/>
                <w:b/>
                <w:color w:val="000000"/>
                <w:sz w:val="24"/>
                <w:szCs w:val="24"/>
              </w:rPr>
            </w:pPr>
            <w:r>
              <w:rPr>
                <w:rFonts w:hint="eastAsia" w:ascii="Calibri" w:hAnsi="Calibri" w:cs="Times New Roman"/>
                <w:b/>
                <w:color w:val="000000"/>
                <w:sz w:val="24"/>
                <w:szCs w:val="24"/>
              </w:rPr>
              <w:t>应用的数字化化技术、技术方案</w:t>
            </w:r>
          </w:p>
        </w:tc>
        <w:tc>
          <w:tcPr>
            <w:tcW w:w="1655" w:type="dxa"/>
            <w:vAlign w:val="center"/>
          </w:tcPr>
          <w:p w14:paraId="65CE9001">
            <w:pPr>
              <w:spacing w:line="240" w:lineRule="auto"/>
              <w:ind w:firstLine="0" w:firstLineChars="0"/>
              <w:jc w:val="center"/>
              <w:rPr>
                <w:rFonts w:ascii="Calibri" w:hAnsi="Calibri" w:cs="Times New Roman"/>
                <w:b/>
                <w:color w:val="000000"/>
                <w:sz w:val="24"/>
                <w:szCs w:val="24"/>
              </w:rPr>
            </w:pPr>
            <w:r>
              <w:rPr>
                <w:rFonts w:hint="eastAsia" w:ascii="Calibri" w:hAnsi="Calibri" w:cs="Times New Roman"/>
                <w:b/>
                <w:color w:val="000000"/>
                <w:sz w:val="24"/>
                <w:szCs w:val="24"/>
              </w:rPr>
              <w:t>取得的主要成效</w:t>
            </w:r>
          </w:p>
        </w:tc>
      </w:tr>
      <w:tr w14:paraId="53518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0" w:type="auto"/>
            <w:vAlign w:val="center"/>
          </w:tcPr>
          <w:p w14:paraId="39750674">
            <w:pPr>
              <w:spacing w:line="240" w:lineRule="auto"/>
              <w:ind w:firstLine="0" w:firstLineChars="0"/>
              <w:jc w:val="center"/>
              <w:rPr>
                <w:rFonts w:ascii="Calibri" w:hAnsi="Calibri" w:cs="Times New Roman"/>
                <w:bCs/>
                <w:sz w:val="24"/>
                <w:szCs w:val="24"/>
              </w:rPr>
            </w:pPr>
            <w:r>
              <w:rPr>
                <w:rFonts w:hint="eastAsia" w:ascii="Calibri" w:hAnsi="Calibri" w:cs="Times New Roman"/>
                <w:bCs/>
                <w:sz w:val="24"/>
                <w:szCs w:val="24"/>
              </w:rPr>
              <w:t>1</w:t>
            </w:r>
          </w:p>
        </w:tc>
        <w:tc>
          <w:tcPr>
            <w:tcW w:w="816" w:type="dxa"/>
            <w:vAlign w:val="center"/>
          </w:tcPr>
          <w:p w14:paraId="3EE99639">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生产</w:t>
            </w:r>
            <w:r>
              <w:rPr>
                <w:rFonts w:ascii="Calibri" w:hAnsi="Calibri" w:cs="Times New Roman"/>
                <w:bCs/>
                <w:sz w:val="24"/>
                <w:szCs w:val="24"/>
              </w:rPr>
              <w:t>过程实时</w:t>
            </w:r>
            <w:r>
              <w:rPr>
                <w:rFonts w:hint="eastAsia" w:ascii="Calibri" w:hAnsi="Calibri" w:cs="Times New Roman"/>
                <w:bCs/>
                <w:sz w:val="24"/>
                <w:szCs w:val="24"/>
              </w:rPr>
              <w:t>监控</w:t>
            </w:r>
          </w:p>
        </w:tc>
        <w:tc>
          <w:tcPr>
            <w:tcW w:w="1701" w:type="dxa"/>
            <w:vAlign w:val="center"/>
          </w:tcPr>
          <w:p w14:paraId="04502247">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加工生产</w:t>
            </w:r>
            <w:r>
              <w:rPr>
                <w:rFonts w:ascii="Calibri" w:hAnsi="Calibri" w:cs="Times New Roman"/>
                <w:bCs/>
                <w:sz w:val="24"/>
                <w:szCs w:val="24"/>
              </w:rPr>
              <w:t>全过程</w:t>
            </w:r>
            <w:r>
              <w:rPr>
                <w:rFonts w:hint="eastAsia" w:ascii="Calibri" w:hAnsi="Calibri" w:cs="Times New Roman"/>
                <w:bCs/>
                <w:sz w:val="24"/>
                <w:szCs w:val="24"/>
              </w:rPr>
              <w:t>数字化</w:t>
            </w:r>
            <w:r>
              <w:rPr>
                <w:rFonts w:ascii="Calibri" w:hAnsi="Calibri" w:cs="Times New Roman"/>
                <w:bCs/>
                <w:sz w:val="24"/>
                <w:szCs w:val="24"/>
              </w:rPr>
              <w:t>管控，包括产品</w:t>
            </w:r>
            <w:r>
              <w:rPr>
                <w:rFonts w:hint="eastAsia" w:ascii="Calibri" w:hAnsi="Calibri" w:cs="Times New Roman"/>
                <w:bCs/>
                <w:sz w:val="24"/>
                <w:szCs w:val="24"/>
              </w:rPr>
              <w:t>重量</w:t>
            </w:r>
            <w:r>
              <w:rPr>
                <w:rFonts w:ascii="Calibri" w:hAnsi="Calibri" w:cs="Times New Roman"/>
                <w:bCs/>
                <w:sz w:val="24"/>
                <w:szCs w:val="24"/>
              </w:rPr>
              <w:t>产出</w:t>
            </w:r>
            <w:r>
              <w:rPr>
                <w:rFonts w:hint="eastAsia" w:ascii="Calibri" w:hAnsi="Calibri" w:cs="Times New Roman"/>
                <w:bCs/>
                <w:sz w:val="24"/>
                <w:szCs w:val="24"/>
              </w:rPr>
              <w:t>数据，每道</w:t>
            </w:r>
            <w:r>
              <w:rPr>
                <w:rFonts w:ascii="Calibri" w:hAnsi="Calibri" w:cs="Times New Roman"/>
                <w:bCs/>
                <w:sz w:val="24"/>
                <w:szCs w:val="24"/>
              </w:rPr>
              <w:t>工序</w:t>
            </w:r>
            <w:r>
              <w:rPr>
                <w:rFonts w:hint="eastAsia" w:ascii="Calibri" w:hAnsi="Calibri" w:cs="Times New Roman"/>
                <w:bCs/>
                <w:sz w:val="24"/>
                <w:szCs w:val="24"/>
              </w:rPr>
              <w:t>出成率</w:t>
            </w:r>
            <w:r>
              <w:rPr>
                <w:rFonts w:ascii="Calibri" w:hAnsi="Calibri" w:cs="Times New Roman"/>
                <w:bCs/>
                <w:sz w:val="24"/>
                <w:szCs w:val="24"/>
              </w:rPr>
              <w:t>数据实时计算，实现可视化管理场景。</w:t>
            </w:r>
          </w:p>
        </w:tc>
        <w:tc>
          <w:tcPr>
            <w:tcW w:w="1276" w:type="dxa"/>
            <w:vAlign w:val="center"/>
          </w:tcPr>
          <w:p w14:paraId="72764E54">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产线每道</w:t>
            </w:r>
            <w:r>
              <w:rPr>
                <w:rFonts w:ascii="Calibri" w:hAnsi="Calibri" w:cs="Times New Roman"/>
                <w:bCs/>
                <w:sz w:val="24"/>
                <w:szCs w:val="24"/>
              </w:rPr>
              <w:t>工序</w:t>
            </w:r>
            <w:r>
              <w:rPr>
                <w:rFonts w:hint="eastAsia" w:ascii="Calibri" w:hAnsi="Calibri" w:cs="Times New Roman"/>
                <w:bCs/>
                <w:sz w:val="24"/>
                <w:szCs w:val="24"/>
              </w:rPr>
              <w:t>生产数据通过</w:t>
            </w:r>
            <w:r>
              <w:rPr>
                <w:rFonts w:ascii="Calibri" w:hAnsi="Calibri" w:cs="Times New Roman"/>
                <w:bCs/>
                <w:sz w:val="24"/>
                <w:szCs w:val="24"/>
              </w:rPr>
              <w:t>人工录入</w:t>
            </w:r>
            <w:r>
              <w:rPr>
                <w:rFonts w:hint="eastAsia" w:ascii="Calibri" w:hAnsi="Calibri" w:cs="Times New Roman"/>
                <w:bCs/>
                <w:sz w:val="24"/>
                <w:szCs w:val="24"/>
              </w:rPr>
              <w:t>ERP系统，</w:t>
            </w:r>
            <w:r>
              <w:rPr>
                <w:rFonts w:ascii="Calibri" w:hAnsi="Calibri" w:cs="Times New Roman"/>
                <w:bCs/>
                <w:sz w:val="24"/>
                <w:szCs w:val="24"/>
              </w:rPr>
              <w:t>存在</w:t>
            </w:r>
            <w:r>
              <w:rPr>
                <w:rFonts w:hint="eastAsia" w:ascii="Calibri" w:hAnsi="Calibri" w:cs="Times New Roman"/>
                <w:bCs/>
                <w:sz w:val="24"/>
                <w:szCs w:val="24"/>
              </w:rPr>
              <w:t>数据</w:t>
            </w:r>
            <w:r>
              <w:rPr>
                <w:rFonts w:ascii="Calibri" w:hAnsi="Calibri" w:cs="Times New Roman"/>
                <w:bCs/>
                <w:sz w:val="24"/>
                <w:szCs w:val="24"/>
              </w:rPr>
              <w:t>不</w:t>
            </w:r>
            <w:r>
              <w:rPr>
                <w:rFonts w:hint="eastAsia" w:ascii="Calibri" w:hAnsi="Calibri" w:cs="Times New Roman"/>
                <w:bCs/>
                <w:sz w:val="24"/>
                <w:szCs w:val="24"/>
              </w:rPr>
              <w:t>准确</w:t>
            </w:r>
            <w:r>
              <w:rPr>
                <w:rFonts w:ascii="Calibri" w:hAnsi="Calibri" w:cs="Times New Roman"/>
                <w:bCs/>
                <w:sz w:val="24"/>
                <w:szCs w:val="24"/>
              </w:rPr>
              <w:t>风险。</w:t>
            </w:r>
          </w:p>
        </w:tc>
        <w:tc>
          <w:tcPr>
            <w:tcW w:w="2693" w:type="dxa"/>
            <w:vAlign w:val="center"/>
          </w:tcPr>
          <w:p w14:paraId="7F577D34">
            <w:pPr>
              <w:spacing w:line="240" w:lineRule="auto"/>
              <w:ind w:firstLine="0" w:firstLineChars="0"/>
              <w:rPr>
                <w:rFonts w:ascii="Calibri" w:hAnsi="Calibri" w:cs="Times New Roman"/>
                <w:bCs/>
                <w:sz w:val="24"/>
                <w:szCs w:val="24"/>
              </w:rPr>
            </w:pPr>
            <w:r>
              <w:rPr>
                <w:rFonts w:ascii="Calibri" w:hAnsi="Calibri" w:cs="Times New Roman"/>
                <w:bCs/>
                <w:sz w:val="24"/>
                <w:szCs w:val="24"/>
              </w:rPr>
              <w:t>MES</w:t>
            </w:r>
            <w:r>
              <w:rPr>
                <w:rFonts w:hint="eastAsia" w:ascii="Calibri" w:hAnsi="Calibri" w:cs="Times New Roman"/>
                <w:bCs/>
                <w:sz w:val="24"/>
                <w:szCs w:val="24"/>
              </w:rPr>
              <w:t>系统以生产加工为主体，围绕车间生产管理实际需求，基于计量终端，通过云服务器将数据自动传输到生产管理平台，统计车间每道工序实时出成率。</w:t>
            </w:r>
          </w:p>
        </w:tc>
        <w:tc>
          <w:tcPr>
            <w:tcW w:w="1655" w:type="dxa"/>
            <w:vAlign w:val="center"/>
          </w:tcPr>
          <w:p w14:paraId="1F95250A">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实现</w:t>
            </w:r>
            <w:r>
              <w:rPr>
                <w:rFonts w:ascii="Calibri" w:hAnsi="Calibri" w:cs="Times New Roman"/>
                <w:bCs/>
                <w:sz w:val="24"/>
                <w:szCs w:val="24"/>
              </w:rPr>
              <w:t>生产</w:t>
            </w:r>
            <w:r>
              <w:rPr>
                <w:rFonts w:hint="eastAsia" w:ascii="Calibri" w:hAnsi="Calibri" w:cs="Times New Roman"/>
                <w:bCs/>
                <w:sz w:val="24"/>
                <w:szCs w:val="24"/>
              </w:rPr>
              <w:t>数据</w:t>
            </w:r>
            <w:r>
              <w:rPr>
                <w:rFonts w:ascii="Calibri" w:hAnsi="Calibri" w:cs="Times New Roman"/>
                <w:bCs/>
                <w:sz w:val="24"/>
                <w:szCs w:val="24"/>
              </w:rPr>
              <w:t>实时监控，</w:t>
            </w:r>
            <w:r>
              <w:rPr>
                <w:rFonts w:hint="eastAsia" w:ascii="Calibri" w:hAnsi="Calibri" w:cs="Times New Roman"/>
                <w:bCs/>
                <w:sz w:val="24"/>
                <w:szCs w:val="24"/>
              </w:rPr>
              <w:t>生产</w:t>
            </w:r>
            <w:r>
              <w:rPr>
                <w:rFonts w:ascii="Calibri" w:hAnsi="Calibri" w:cs="Times New Roman"/>
                <w:bCs/>
                <w:sz w:val="24"/>
                <w:szCs w:val="24"/>
              </w:rPr>
              <w:t>过程可视化管理。产品</w:t>
            </w:r>
            <w:r>
              <w:rPr>
                <w:rFonts w:hint="eastAsia" w:ascii="Calibri" w:hAnsi="Calibri" w:cs="Times New Roman"/>
                <w:bCs/>
                <w:sz w:val="24"/>
                <w:szCs w:val="24"/>
              </w:rPr>
              <w:t>出成</w:t>
            </w:r>
            <w:r>
              <w:rPr>
                <w:rFonts w:ascii="Calibri" w:hAnsi="Calibri" w:cs="Times New Roman"/>
                <w:bCs/>
                <w:sz w:val="24"/>
                <w:szCs w:val="24"/>
              </w:rPr>
              <w:t>率</w:t>
            </w:r>
            <w:r>
              <w:rPr>
                <w:rFonts w:hint="eastAsia" w:ascii="Calibri" w:hAnsi="Calibri" w:cs="Times New Roman"/>
                <w:bCs/>
                <w:sz w:val="24"/>
                <w:szCs w:val="24"/>
              </w:rPr>
              <w:t>提高20</w:t>
            </w:r>
            <w:r>
              <w:rPr>
                <w:rFonts w:ascii="Calibri" w:hAnsi="Calibri" w:cs="Times New Roman"/>
                <w:bCs/>
                <w:sz w:val="24"/>
                <w:szCs w:val="24"/>
              </w:rPr>
              <w:t>%，</w:t>
            </w:r>
            <w:r>
              <w:rPr>
                <w:rFonts w:hint="eastAsia" w:ascii="Calibri" w:hAnsi="Calibri" w:cs="Times New Roman"/>
                <w:bCs/>
                <w:sz w:val="22"/>
                <w:szCs w:val="24"/>
              </w:rPr>
              <w:t>产品</w:t>
            </w:r>
            <w:r>
              <w:rPr>
                <w:rFonts w:hint="eastAsia" w:ascii="Calibri" w:hAnsi="Calibri" w:cs="Times New Roman"/>
                <w:bCs/>
                <w:sz w:val="24"/>
                <w:szCs w:val="24"/>
              </w:rPr>
              <w:t>准时交货率提高15</w:t>
            </w:r>
            <w:r>
              <w:rPr>
                <w:rFonts w:ascii="Calibri" w:hAnsi="Calibri" w:cs="Times New Roman"/>
                <w:bCs/>
                <w:sz w:val="24"/>
                <w:szCs w:val="24"/>
              </w:rPr>
              <w:t>%</w:t>
            </w:r>
            <w:r>
              <w:rPr>
                <w:rFonts w:hint="eastAsia" w:ascii="Calibri" w:hAnsi="Calibri" w:cs="Times New Roman"/>
                <w:bCs/>
                <w:sz w:val="24"/>
                <w:szCs w:val="24"/>
              </w:rPr>
              <w:t>，缩短交货周期、降低库存积压。</w:t>
            </w:r>
          </w:p>
        </w:tc>
      </w:tr>
      <w:tr w14:paraId="6B3AD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jc w:val="center"/>
        </w:trPr>
        <w:tc>
          <w:tcPr>
            <w:tcW w:w="0" w:type="auto"/>
            <w:vAlign w:val="center"/>
          </w:tcPr>
          <w:p w14:paraId="6B667EB2">
            <w:pPr>
              <w:spacing w:line="240" w:lineRule="auto"/>
              <w:ind w:firstLine="0" w:firstLineChars="0"/>
              <w:jc w:val="center"/>
              <w:rPr>
                <w:rFonts w:ascii="Calibri" w:hAnsi="Calibri" w:cs="Times New Roman"/>
                <w:bCs/>
                <w:sz w:val="24"/>
                <w:szCs w:val="24"/>
              </w:rPr>
            </w:pPr>
            <w:r>
              <w:rPr>
                <w:rFonts w:hint="eastAsia" w:ascii="Calibri" w:hAnsi="Calibri" w:cs="Times New Roman"/>
                <w:bCs/>
                <w:sz w:val="24"/>
                <w:szCs w:val="24"/>
              </w:rPr>
              <w:t>2</w:t>
            </w:r>
          </w:p>
        </w:tc>
        <w:tc>
          <w:tcPr>
            <w:tcW w:w="816" w:type="dxa"/>
            <w:vAlign w:val="center"/>
          </w:tcPr>
          <w:p w14:paraId="489E52E3">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智能仓储物流管理</w:t>
            </w:r>
          </w:p>
        </w:tc>
        <w:tc>
          <w:tcPr>
            <w:tcW w:w="1701" w:type="dxa"/>
            <w:vAlign w:val="center"/>
          </w:tcPr>
          <w:p w14:paraId="6D3F5BE6">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通过仓库管理系统（WMS系统）的实施，包括合同管理、物流订单管理、仓储管理、分拣配送管理、财务结算等场景。</w:t>
            </w:r>
          </w:p>
        </w:tc>
        <w:tc>
          <w:tcPr>
            <w:tcW w:w="1276" w:type="dxa"/>
            <w:vAlign w:val="center"/>
          </w:tcPr>
          <w:p w14:paraId="49EDDD94">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仓库</w:t>
            </w:r>
            <w:r>
              <w:rPr>
                <w:rFonts w:ascii="Calibri" w:hAnsi="Calibri" w:cs="Times New Roman"/>
                <w:bCs/>
                <w:sz w:val="24"/>
                <w:szCs w:val="24"/>
              </w:rPr>
              <w:t>出入库量大</w:t>
            </w:r>
            <w:r>
              <w:rPr>
                <w:rFonts w:hint="eastAsia" w:ascii="Calibri" w:hAnsi="Calibri" w:cs="Times New Roman"/>
                <w:bCs/>
                <w:sz w:val="24"/>
                <w:szCs w:val="24"/>
              </w:rPr>
              <w:t>，</w:t>
            </w:r>
            <w:r>
              <w:rPr>
                <w:rFonts w:ascii="Calibri" w:hAnsi="Calibri" w:cs="Times New Roman"/>
                <w:bCs/>
                <w:sz w:val="24"/>
                <w:szCs w:val="24"/>
              </w:rPr>
              <w:t>手工单据难以</w:t>
            </w:r>
            <w:r>
              <w:rPr>
                <w:rFonts w:hint="eastAsia" w:ascii="Calibri" w:hAnsi="Calibri" w:cs="Times New Roman"/>
                <w:bCs/>
                <w:sz w:val="24"/>
                <w:szCs w:val="24"/>
              </w:rPr>
              <w:t>准确</w:t>
            </w:r>
            <w:r>
              <w:rPr>
                <w:rFonts w:ascii="Calibri" w:hAnsi="Calibri" w:cs="Times New Roman"/>
                <w:bCs/>
                <w:sz w:val="24"/>
                <w:szCs w:val="24"/>
              </w:rPr>
              <w:t>实时更新</w:t>
            </w:r>
            <w:r>
              <w:rPr>
                <w:rFonts w:hint="eastAsia" w:ascii="Calibri" w:hAnsi="Calibri" w:cs="Times New Roman"/>
                <w:bCs/>
                <w:sz w:val="24"/>
                <w:szCs w:val="24"/>
              </w:rPr>
              <w:t>数据</w:t>
            </w:r>
            <w:r>
              <w:rPr>
                <w:rFonts w:ascii="Calibri" w:hAnsi="Calibri" w:cs="Times New Roman"/>
                <w:bCs/>
                <w:sz w:val="24"/>
                <w:szCs w:val="24"/>
              </w:rPr>
              <w:t>，</w:t>
            </w:r>
            <w:r>
              <w:rPr>
                <w:rFonts w:hint="eastAsia" w:ascii="Calibri" w:hAnsi="Calibri" w:cs="Times New Roman"/>
                <w:bCs/>
                <w:sz w:val="24"/>
                <w:szCs w:val="24"/>
              </w:rPr>
              <w:t>难以</w:t>
            </w:r>
            <w:r>
              <w:rPr>
                <w:rFonts w:ascii="Calibri" w:hAnsi="Calibri" w:cs="Times New Roman"/>
                <w:bCs/>
                <w:sz w:val="24"/>
                <w:szCs w:val="24"/>
              </w:rPr>
              <w:t>支持备货、物料</w:t>
            </w:r>
            <w:r>
              <w:rPr>
                <w:rFonts w:hint="eastAsia" w:ascii="Calibri" w:hAnsi="Calibri" w:cs="Times New Roman"/>
                <w:bCs/>
                <w:sz w:val="24"/>
                <w:szCs w:val="24"/>
              </w:rPr>
              <w:t>/产品</w:t>
            </w:r>
            <w:r>
              <w:rPr>
                <w:rFonts w:ascii="Calibri" w:hAnsi="Calibri" w:cs="Times New Roman"/>
                <w:bCs/>
                <w:sz w:val="24"/>
                <w:szCs w:val="24"/>
              </w:rPr>
              <w:t>难以追溯</w:t>
            </w:r>
            <w:r>
              <w:rPr>
                <w:rFonts w:hint="eastAsia" w:ascii="Calibri" w:hAnsi="Calibri" w:cs="Times New Roman"/>
                <w:bCs/>
                <w:sz w:val="24"/>
                <w:szCs w:val="24"/>
              </w:rPr>
              <w:t>。</w:t>
            </w:r>
          </w:p>
        </w:tc>
        <w:tc>
          <w:tcPr>
            <w:tcW w:w="2693" w:type="dxa"/>
            <w:vAlign w:val="center"/>
          </w:tcPr>
          <w:p w14:paraId="76D2B28C">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WMS系统集成了信息技术、无线射频技术、条码技术、电子标签技术、WEB技术及计算机应用技术等将仓库管理、无线扫描、电子显示、WEB应用有机的组成一个完整的仓储管理系统。通过后台服务程序实现同一客户不同订单的合并和订单分配，并对基于PTL、RF、纸箱标签方式的上架、拣选、补货、盘点、移库等操作进行统一调度和下达指令，并实时接收来自PTL、RF和终端PC的反馈数据。</w:t>
            </w:r>
          </w:p>
        </w:tc>
        <w:tc>
          <w:tcPr>
            <w:tcW w:w="1655" w:type="dxa"/>
            <w:vAlign w:val="center"/>
          </w:tcPr>
          <w:p w14:paraId="2B9019DD">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数据采集及时、过程精准管理、全自动化智能导向，工作效率提高32</w:t>
            </w:r>
            <w:r>
              <w:rPr>
                <w:rFonts w:ascii="Calibri" w:hAnsi="Calibri" w:cs="Times New Roman"/>
                <w:bCs/>
                <w:sz w:val="24"/>
                <w:szCs w:val="24"/>
              </w:rPr>
              <w:t>%</w:t>
            </w:r>
            <w:r>
              <w:rPr>
                <w:rFonts w:hint="eastAsia" w:ascii="Calibri" w:hAnsi="Calibri" w:cs="Times New Roman"/>
                <w:bCs/>
                <w:sz w:val="24"/>
                <w:szCs w:val="24"/>
              </w:rPr>
              <w:t>。</w:t>
            </w:r>
          </w:p>
          <w:p w14:paraId="57922E70">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通过对批次信息的自动采集，实现对产品生产或销售过程的可追溯性。从而</w:t>
            </w:r>
            <w:r>
              <w:rPr>
                <w:rFonts w:ascii="Calibri" w:hAnsi="Calibri" w:cs="Times New Roman"/>
                <w:bCs/>
                <w:sz w:val="24"/>
                <w:szCs w:val="24"/>
              </w:rPr>
              <w:t>客户满意度提高20%。</w:t>
            </w:r>
          </w:p>
        </w:tc>
      </w:tr>
      <w:tr w14:paraId="25480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jc w:val="center"/>
        </w:trPr>
        <w:tc>
          <w:tcPr>
            <w:tcW w:w="0" w:type="auto"/>
            <w:vAlign w:val="center"/>
          </w:tcPr>
          <w:p w14:paraId="36EEC8F7">
            <w:pPr>
              <w:spacing w:line="240" w:lineRule="auto"/>
              <w:ind w:firstLine="0" w:firstLineChars="0"/>
              <w:jc w:val="center"/>
              <w:rPr>
                <w:rFonts w:ascii="Calibri" w:hAnsi="Calibri" w:cs="Times New Roman"/>
                <w:bCs/>
                <w:sz w:val="24"/>
                <w:szCs w:val="24"/>
              </w:rPr>
            </w:pPr>
            <w:r>
              <w:rPr>
                <w:rFonts w:hint="eastAsia" w:ascii="Calibri" w:hAnsi="Calibri" w:cs="Times New Roman"/>
                <w:bCs/>
                <w:sz w:val="24"/>
                <w:szCs w:val="24"/>
              </w:rPr>
              <w:t>3</w:t>
            </w:r>
          </w:p>
        </w:tc>
        <w:tc>
          <w:tcPr>
            <w:tcW w:w="816" w:type="dxa"/>
            <w:vAlign w:val="center"/>
          </w:tcPr>
          <w:p w14:paraId="70999FAE">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企业经营</w:t>
            </w:r>
            <w:r>
              <w:rPr>
                <w:rFonts w:ascii="Calibri" w:hAnsi="Calibri" w:cs="Times New Roman"/>
                <w:bCs/>
                <w:sz w:val="24"/>
                <w:szCs w:val="24"/>
              </w:rPr>
              <w:t>管理</w:t>
            </w:r>
          </w:p>
        </w:tc>
        <w:tc>
          <w:tcPr>
            <w:tcW w:w="1701" w:type="dxa"/>
            <w:vAlign w:val="center"/>
          </w:tcPr>
          <w:p w14:paraId="7A277C28">
            <w:pPr>
              <w:spacing w:line="240" w:lineRule="auto"/>
              <w:ind w:firstLine="0" w:firstLineChars="0"/>
              <w:rPr>
                <w:rFonts w:ascii="Calibri" w:hAnsi="Calibri" w:cs="Times New Roman"/>
                <w:bCs/>
                <w:sz w:val="24"/>
                <w:szCs w:val="24"/>
              </w:rPr>
            </w:pPr>
            <w:r>
              <w:rPr>
                <w:rFonts w:ascii="Calibri" w:hAnsi="Calibri" w:cs="Times New Roman"/>
                <w:bCs/>
                <w:sz w:val="24"/>
                <w:szCs w:val="24"/>
              </w:rPr>
              <w:t>ERP</w:t>
            </w:r>
            <w:r>
              <w:rPr>
                <w:rFonts w:hint="eastAsia" w:ascii="Calibri" w:hAnsi="Calibri" w:cs="Times New Roman"/>
                <w:bCs/>
                <w:sz w:val="24"/>
                <w:szCs w:val="24"/>
              </w:rPr>
              <w:t>系统对采购管理、销售管理、库存管理、财务管理以及生产管理等模块进行</w:t>
            </w:r>
            <w:r>
              <w:rPr>
                <w:rFonts w:ascii="Calibri" w:hAnsi="Calibri" w:cs="Times New Roman"/>
                <w:bCs/>
                <w:sz w:val="24"/>
                <w:szCs w:val="24"/>
              </w:rPr>
              <w:t>一体化智能管理。</w:t>
            </w:r>
          </w:p>
        </w:tc>
        <w:tc>
          <w:tcPr>
            <w:tcW w:w="1276" w:type="dxa"/>
            <w:vAlign w:val="center"/>
          </w:tcPr>
          <w:p w14:paraId="03007162">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公司业务周期时间</w:t>
            </w:r>
            <w:r>
              <w:rPr>
                <w:rFonts w:ascii="Calibri" w:hAnsi="Calibri" w:cs="Times New Roman"/>
                <w:bCs/>
                <w:sz w:val="24"/>
                <w:szCs w:val="24"/>
              </w:rPr>
              <w:t>长</w:t>
            </w:r>
            <w:r>
              <w:rPr>
                <w:rFonts w:hint="eastAsia" w:ascii="Calibri" w:hAnsi="Calibri" w:cs="Times New Roman"/>
                <w:bCs/>
                <w:sz w:val="24"/>
                <w:szCs w:val="24"/>
              </w:rPr>
              <w:t>，</w:t>
            </w:r>
            <w:r>
              <w:rPr>
                <w:rFonts w:ascii="Calibri" w:hAnsi="Calibri" w:cs="Times New Roman"/>
                <w:bCs/>
                <w:sz w:val="24"/>
                <w:szCs w:val="24"/>
              </w:rPr>
              <w:t>时效</w:t>
            </w:r>
            <w:r>
              <w:rPr>
                <w:rFonts w:hint="eastAsia" w:ascii="Calibri" w:hAnsi="Calibri" w:cs="Times New Roman"/>
                <w:bCs/>
                <w:sz w:val="24"/>
                <w:szCs w:val="24"/>
              </w:rPr>
              <w:t>慢</w:t>
            </w:r>
            <w:r>
              <w:rPr>
                <w:rFonts w:ascii="Calibri" w:hAnsi="Calibri" w:cs="Times New Roman"/>
                <w:bCs/>
                <w:sz w:val="24"/>
                <w:szCs w:val="24"/>
              </w:rPr>
              <w:t>，</w:t>
            </w:r>
            <w:r>
              <w:rPr>
                <w:rFonts w:hint="eastAsia" w:ascii="Calibri" w:hAnsi="Calibri" w:cs="Times New Roman"/>
                <w:bCs/>
                <w:sz w:val="24"/>
                <w:szCs w:val="24"/>
              </w:rPr>
              <w:t>管理</w:t>
            </w:r>
            <w:r>
              <w:rPr>
                <w:rFonts w:ascii="Calibri" w:hAnsi="Calibri" w:cs="Times New Roman"/>
                <w:bCs/>
                <w:sz w:val="24"/>
                <w:szCs w:val="24"/>
              </w:rPr>
              <w:t>层决策无依据等问题。</w:t>
            </w:r>
          </w:p>
        </w:tc>
        <w:tc>
          <w:tcPr>
            <w:tcW w:w="2693" w:type="dxa"/>
            <w:vAlign w:val="center"/>
          </w:tcPr>
          <w:p w14:paraId="449ACA5C">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建立在信息技术基础上，集信息技术与先进管理思想于一身，以系统化的管理思想，为员工及决策层提供决策手段的管理系统。</w:t>
            </w:r>
          </w:p>
        </w:tc>
        <w:tc>
          <w:tcPr>
            <w:tcW w:w="1655" w:type="dxa"/>
            <w:vAlign w:val="center"/>
          </w:tcPr>
          <w:p w14:paraId="0682A4F4">
            <w:pPr>
              <w:spacing w:line="240" w:lineRule="auto"/>
              <w:ind w:firstLine="0" w:firstLineChars="0"/>
              <w:rPr>
                <w:rFonts w:ascii="Calibri" w:hAnsi="Calibri" w:eastAsia="宋体" w:cs="Times New Roman"/>
                <w:sz w:val="21"/>
                <w:szCs w:val="24"/>
              </w:rPr>
            </w:pPr>
            <w:r>
              <w:rPr>
                <w:rFonts w:hint="eastAsia" w:ascii="Calibri" w:hAnsi="Calibri" w:cs="Times New Roman"/>
                <w:bCs/>
                <w:sz w:val="24"/>
                <w:szCs w:val="24"/>
              </w:rPr>
              <w:t>为企业决策提供更加准确、及时的财务报告。及时提供各种管理报告、分析数据，业务周转时间缩短40</w:t>
            </w:r>
            <w:r>
              <w:rPr>
                <w:rFonts w:ascii="Calibri" w:hAnsi="Calibri" w:cs="Times New Roman"/>
                <w:bCs/>
                <w:sz w:val="24"/>
                <w:szCs w:val="24"/>
              </w:rPr>
              <w:t>%</w:t>
            </w:r>
            <w:r>
              <w:rPr>
                <w:rFonts w:hint="eastAsia" w:ascii="Calibri" w:hAnsi="Calibri" w:cs="Times New Roman"/>
                <w:bCs/>
                <w:sz w:val="24"/>
                <w:szCs w:val="24"/>
              </w:rPr>
              <w:t>。</w:t>
            </w:r>
          </w:p>
        </w:tc>
      </w:tr>
      <w:tr w14:paraId="5AFD9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jc w:val="center"/>
        </w:trPr>
        <w:tc>
          <w:tcPr>
            <w:tcW w:w="0" w:type="auto"/>
            <w:vAlign w:val="center"/>
          </w:tcPr>
          <w:p w14:paraId="39DB6A9C">
            <w:pPr>
              <w:spacing w:line="240" w:lineRule="auto"/>
              <w:ind w:firstLine="0" w:firstLineChars="0"/>
              <w:jc w:val="center"/>
              <w:rPr>
                <w:rFonts w:ascii="Calibri" w:hAnsi="Calibri" w:cs="Times New Roman"/>
                <w:bCs/>
                <w:sz w:val="24"/>
                <w:szCs w:val="24"/>
              </w:rPr>
            </w:pPr>
            <w:r>
              <w:rPr>
                <w:rFonts w:hint="eastAsia" w:ascii="Calibri" w:hAnsi="Calibri" w:cs="Times New Roman"/>
                <w:bCs/>
                <w:sz w:val="24"/>
                <w:szCs w:val="24"/>
              </w:rPr>
              <w:t>4</w:t>
            </w:r>
          </w:p>
        </w:tc>
        <w:tc>
          <w:tcPr>
            <w:tcW w:w="816" w:type="dxa"/>
            <w:vAlign w:val="center"/>
          </w:tcPr>
          <w:p w14:paraId="109CC253">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水产品自动</w:t>
            </w:r>
            <w:r>
              <w:rPr>
                <w:rFonts w:ascii="Calibri" w:hAnsi="Calibri" w:cs="Times New Roman"/>
                <w:bCs/>
                <w:sz w:val="24"/>
                <w:szCs w:val="24"/>
              </w:rPr>
              <w:t>加工</w:t>
            </w:r>
            <w:r>
              <w:rPr>
                <w:rFonts w:hint="eastAsia" w:ascii="Calibri" w:hAnsi="Calibri" w:cs="Times New Roman"/>
                <w:bCs/>
                <w:sz w:val="24"/>
                <w:szCs w:val="24"/>
              </w:rPr>
              <w:t>数字化生产</w:t>
            </w:r>
            <w:r>
              <w:rPr>
                <w:rFonts w:ascii="Calibri" w:hAnsi="Calibri" w:cs="Times New Roman"/>
                <w:bCs/>
                <w:sz w:val="24"/>
                <w:szCs w:val="24"/>
              </w:rPr>
              <w:t>线</w:t>
            </w:r>
          </w:p>
        </w:tc>
        <w:tc>
          <w:tcPr>
            <w:tcW w:w="1701" w:type="dxa"/>
            <w:vAlign w:val="center"/>
          </w:tcPr>
          <w:p w14:paraId="241AD8CD">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针对</w:t>
            </w:r>
            <w:r>
              <w:rPr>
                <w:rFonts w:ascii="Calibri" w:hAnsi="Calibri" w:cs="Times New Roman"/>
                <w:bCs/>
                <w:sz w:val="24"/>
                <w:szCs w:val="24"/>
              </w:rPr>
              <w:t>水产品加工过程，建立</w:t>
            </w:r>
            <w:r>
              <w:rPr>
                <w:rFonts w:hint="eastAsia" w:ascii="Calibri" w:hAnsi="Calibri" w:cs="Times New Roman"/>
                <w:bCs/>
                <w:sz w:val="24"/>
                <w:szCs w:val="24"/>
              </w:rPr>
              <w:t>智能化集中控制系统</w:t>
            </w:r>
            <w:r>
              <w:rPr>
                <w:rFonts w:ascii="Calibri" w:hAnsi="Calibri" w:cs="Times New Roman"/>
                <w:bCs/>
                <w:sz w:val="24"/>
                <w:szCs w:val="24"/>
              </w:rPr>
              <w:t>，</w:t>
            </w:r>
            <w:r>
              <w:rPr>
                <w:rFonts w:hint="eastAsia" w:ascii="Calibri" w:hAnsi="Calibri" w:cs="Times New Roman"/>
                <w:bCs/>
                <w:sz w:val="24"/>
                <w:szCs w:val="24"/>
              </w:rPr>
              <w:t>实现</w:t>
            </w:r>
            <w:r>
              <w:rPr>
                <w:rFonts w:ascii="Calibri" w:hAnsi="Calibri" w:cs="Times New Roman"/>
                <w:bCs/>
                <w:sz w:val="24"/>
                <w:szCs w:val="24"/>
              </w:rPr>
              <w:t>生产过程可视可控。</w:t>
            </w:r>
          </w:p>
        </w:tc>
        <w:tc>
          <w:tcPr>
            <w:tcW w:w="1276" w:type="dxa"/>
            <w:vAlign w:val="center"/>
          </w:tcPr>
          <w:p w14:paraId="78FD6298">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生产</w:t>
            </w:r>
            <w:r>
              <w:rPr>
                <w:rFonts w:ascii="Calibri" w:hAnsi="Calibri" w:cs="Times New Roman"/>
                <w:bCs/>
                <w:sz w:val="24"/>
                <w:szCs w:val="24"/>
              </w:rPr>
              <w:t>数据难以</w:t>
            </w:r>
            <w:r>
              <w:rPr>
                <w:rFonts w:hint="eastAsia" w:ascii="Calibri" w:hAnsi="Calibri" w:cs="Times New Roman"/>
                <w:bCs/>
                <w:sz w:val="24"/>
                <w:szCs w:val="24"/>
              </w:rPr>
              <w:t>及时</w:t>
            </w:r>
            <w:r>
              <w:rPr>
                <w:rFonts w:ascii="Calibri" w:hAnsi="Calibri" w:cs="Times New Roman"/>
                <w:bCs/>
                <w:sz w:val="24"/>
                <w:szCs w:val="24"/>
              </w:rPr>
              <w:t>收集分析，需要较多的人工操作</w:t>
            </w:r>
            <w:r>
              <w:rPr>
                <w:rFonts w:hint="eastAsia" w:ascii="Calibri" w:hAnsi="Calibri" w:cs="Times New Roman"/>
                <w:bCs/>
                <w:sz w:val="24"/>
                <w:szCs w:val="24"/>
              </w:rPr>
              <w:t>等</w:t>
            </w:r>
            <w:r>
              <w:rPr>
                <w:rFonts w:ascii="Calibri" w:hAnsi="Calibri" w:cs="Times New Roman"/>
                <w:bCs/>
                <w:sz w:val="24"/>
                <w:szCs w:val="24"/>
              </w:rPr>
              <w:t>问题。</w:t>
            </w:r>
          </w:p>
        </w:tc>
        <w:tc>
          <w:tcPr>
            <w:tcW w:w="2693" w:type="dxa"/>
            <w:vAlign w:val="center"/>
          </w:tcPr>
          <w:p w14:paraId="5BDAAB10">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通过</w:t>
            </w:r>
            <w:r>
              <w:rPr>
                <w:rFonts w:ascii="Calibri" w:hAnsi="Calibri" w:cs="Times New Roman"/>
                <w:bCs/>
                <w:sz w:val="24"/>
                <w:szCs w:val="24"/>
              </w:rPr>
              <w:t>智能称重系统</w:t>
            </w:r>
            <w:r>
              <w:rPr>
                <w:rFonts w:hint="eastAsia" w:ascii="Calibri" w:hAnsi="Calibri" w:cs="Times New Roman"/>
                <w:bCs/>
                <w:sz w:val="24"/>
                <w:szCs w:val="24"/>
              </w:rPr>
              <w:t>的</w:t>
            </w:r>
            <w:r>
              <w:rPr>
                <w:rFonts w:ascii="Calibri" w:hAnsi="Calibri" w:cs="Times New Roman"/>
                <w:bCs/>
                <w:sz w:val="24"/>
                <w:szCs w:val="24"/>
              </w:rPr>
              <w:t>建设，对</w:t>
            </w:r>
            <w:r>
              <w:rPr>
                <w:rFonts w:hint="eastAsia" w:ascii="Calibri" w:hAnsi="Calibri" w:cs="Times New Roman"/>
                <w:bCs/>
                <w:sz w:val="24"/>
                <w:szCs w:val="24"/>
              </w:rPr>
              <w:t>生产</w:t>
            </w:r>
            <w:r>
              <w:rPr>
                <w:rFonts w:ascii="Calibri" w:hAnsi="Calibri" w:cs="Times New Roman"/>
                <w:bCs/>
                <w:sz w:val="24"/>
                <w:szCs w:val="24"/>
              </w:rPr>
              <w:t>过程中的数据实时采集</w:t>
            </w:r>
            <w:r>
              <w:rPr>
                <w:rFonts w:hint="eastAsia" w:ascii="Calibri" w:hAnsi="Calibri" w:cs="Times New Roman"/>
                <w:bCs/>
                <w:sz w:val="24"/>
                <w:szCs w:val="24"/>
              </w:rPr>
              <w:t>，</w:t>
            </w:r>
            <w:r>
              <w:rPr>
                <w:rFonts w:ascii="Calibri" w:hAnsi="Calibri" w:cs="Times New Roman"/>
                <w:bCs/>
                <w:sz w:val="24"/>
                <w:szCs w:val="24"/>
              </w:rPr>
              <w:t>并与</w:t>
            </w:r>
            <w:r>
              <w:rPr>
                <w:rFonts w:hint="eastAsia" w:ascii="Calibri" w:hAnsi="Calibri" w:cs="Times New Roman"/>
                <w:bCs/>
                <w:sz w:val="24"/>
                <w:szCs w:val="24"/>
              </w:rPr>
              <w:t>MES系统</w:t>
            </w:r>
            <w:r>
              <w:rPr>
                <w:rFonts w:ascii="Calibri" w:hAnsi="Calibri" w:cs="Times New Roman"/>
                <w:bCs/>
                <w:sz w:val="24"/>
                <w:szCs w:val="24"/>
              </w:rPr>
              <w:t>、</w:t>
            </w:r>
            <w:r>
              <w:rPr>
                <w:rFonts w:hint="eastAsia" w:ascii="Calibri" w:hAnsi="Calibri" w:cs="Times New Roman"/>
                <w:bCs/>
                <w:sz w:val="24"/>
                <w:szCs w:val="24"/>
              </w:rPr>
              <w:t>ERP系统、车间</w:t>
            </w:r>
            <w:r>
              <w:rPr>
                <w:rFonts w:ascii="Calibri" w:hAnsi="Calibri" w:cs="Times New Roman"/>
                <w:bCs/>
                <w:sz w:val="24"/>
                <w:szCs w:val="24"/>
              </w:rPr>
              <w:t>监控系统集成，</w:t>
            </w:r>
            <w:r>
              <w:rPr>
                <w:rFonts w:hint="eastAsia" w:ascii="Calibri" w:hAnsi="Calibri" w:cs="Times New Roman"/>
                <w:bCs/>
                <w:sz w:val="24"/>
                <w:szCs w:val="24"/>
              </w:rPr>
              <w:t>实现对</w:t>
            </w:r>
            <w:r>
              <w:rPr>
                <w:rFonts w:ascii="Calibri" w:hAnsi="Calibri" w:cs="Times New Roman"/>
                <w:bCs/>
                <w:sz w:val="24"/>
                <w:szCs w:val="24"/>
              </w:rPr>
              <w:t>产线运行状态、产品质量</w:t>
            </w:r>
            <w:r>
              <w:rPr>
                <w:rFonts w:hint="eastAsia" w:ascii="Calibri" w:hAnsi="Calibri" w:cs="Times New Roman"/>
                <w:bCs/>
                <w:sz w:val="24"/>
                <w:szCs w:val="24"/>
              </w:rPr>
              <w:t>的</w:t>
            </w:r>
            <w:r>
              <w:rPr>
                <w:rFonts w:ascii="Calibri" w:hAnsi="Calibri" w:cs="Times New Roman"/>
                <w:bCs/>
                <w:sz w:val="24"/>
                <w:szCs w:val="24"/>
              </w:rPr>
              <w:t>数据进行</w:t>
            </w:r>
            <w:r>
              <w:rPr>
                <w:rFonts w:hint="eastAsia" w:ascii="Calibri" w:hAnsi="Calibri" w:cs="Times New Roman"/>
                <w:bCs/>
                <w:sz w:val="24"/>
                <w:szCs w:val="24"/>
              </w:rPr>
              <w:t>统一管理</w:t>
            </w:r>
            <w:r>
              <w:rPr>
                <w:rFonts w:ascii="Calibri" w:hAnsi="Calibri" w:cs="Times New Roman"/>
                <w:bCs/>
                <w:sz w:val="24"/>
                <w:szCs w:val="24"/>
              </w:rPr>
              <w:t>。</w:t>
            </w:r>
          </w:p>
        </w:tc>
        <w:tc>
          <w:tcPr>
            <w:tcW w:w="1655" w:type="dxa"/>
            <w:vAlign w:val="center"/>
          </w:tcPr>
          <w:p w14:paraId="7198990C">
            <w:pPr>
              <w:spacing w:line="240" w:lineRule="auto"/>
              <w:ind w:firstLine="0" w:firstLineChars="0"/>
              <w:rPr>
                <w:rFonts w:ascii="Calibri" w:hAnsi="Calibri" w:cs="Times New Roman"/>
                <w:bCs/>
                <w:sz w:val="24"/>
                <w:szCs w:val="24"/>
              </w:rPr>
            </w:pPr>
            <w:r>
              <w:rPr>
                <w:rFonts w:hint="eastAsia" w:ascii="Calibri" w:hAnsi="Calibri" w:cs="Times New Roman"/>
                <w:bCs/>
                <w:sz w:val="24"/>
                <w:szCs w:val="24"/>
              </w:rPr>
              <w:t>数字化</w:t>
            </w:r>
            <w:r>
              <w:rPr>
                <w:rFonts w:ascii="Calibri" w:hAnsi="Calibri" w:cs="Times New Roman"/>
                <w:bCs/>
                <w:sz w:val="24"/>
                <w:szCs w:val="24"/>
              </w:rPr>
              <w:t>车间建设后，生产效率提升</w:t>
            </w:r>
            <w:r>
              <w:rPr>
                <w:rFonts w:hint="eastAsia" w:ascii="Calibri" w:hAnsi="Calibri" w:cs="Times New Roman"/>
                <w:bCs/>
                <w:sz w:val="24"/>
                <w:szCs w:val="24"/>
              </w:rPr>
              <w:t>32</w:t>
            </w:r>
            <w:r>
              <w:rPr>
                <w:rFonts w:ascii="Calibri" w:hAnsi="Calibri" w:cs="Times New Roman"/>
                <w:bCs/>
                <w:sz w:val="24"/>
                <w:szCs w:val="24"/>
              </w:rPr>
              <w:t>%</w:t>
            </w:r>
            <w:r>
              <w:rPr>
                <w:rFonts w:hint="eastAsia" w:ascii="Calibri" w:hAnsi="Calibri" w:cs="Times New Roman"/>
                <w:bCs/>
                <w:sz w:val="24"/>
                <w:szCs w:val="24"/>
              </w:rPr>
              <w:t>，出成率</w:t>
            </w:r>
            <w:r>
              <w:rPr>
                <w:rFonts w:ascii="Calibri" w:hAnsi="Calibri" w:cs="Times New Roman"/>
                <w:bCs/>
                <w:sz w:val="24"/>
                <w:szCs w:val="24"/>
              </w:rPr>
              <w:t>提升</w:t>
            </w:r>
            <w:r>
              <w:rPr>
                <w:rFonts w:hint="eastAsia" w:ascii="Calibri" w:hAnsi="Calibri" w:cs="Times New Roman"/>
                <w:bCs/>
                <w:sz w:val="24"/>
                <w:szCs w:val="24"/>
              </w:rPr>
              <w:t>20</w:t>
            </w:r>
            <w:r>
              <w:rPr>
                <w:rFonts w:ascii="Calibri" w:hAnsi="Calibri" w:cs="Times New Roman"/>
                <w:bCs/>
                <w:sz w:val="24"/>
                <w:szCs w:val="24"/>
              </w:rPr>
              <w:t>%。</w:t>
            </w:r>
          </w:p>
        </w:tc>
      </w:tr>
    </w:tbl>
    <w:p w14:paraId="5404529E">
      <w:pPr>
        <w:ind w:firstLine="320" w:firstLineChars="10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三是本标准不包含数据指标类参数。</w:t>
      </w:r>
    </w:p>
    <w:p w14:paraId="1FE155A8">
      <w:pPr>
        <w:numPr>
          <w:ilvl w:val="0"/>
          <w:numId w:val="1"/>
        </w:num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与现行有关法律、法规和国家标准、行业标准、地方标准的关系</w:t>
      </w:r>
    </w:p>
    <w:p w14:paraId="668E22DA">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与本标准密切相关的法律及政策文件有《辽宁省数字化车间、智能化工厂规范条件（暂行）》、《辽宁省数字化车间、智能工厂建设指南》、《制造业数字化智能化典型应用场景参考指引》、《国家智能制造标准体系建设指南（2018年版）》、《工业和信息化部2017年智能制造试点示范项目要素条件》等。</w:t>
      </w:r>
    </w:p>
    <w:p w14:paraId="1AA8E36B">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与本标准密切相关的推荐性国家标准有：</w:t>
      </w:r>
      <w:r>
        <w:rPr>
          <w:rFonts w:ascii="方正仿宋_GB2312" w:hAnsi="方正仿宋_GB2312" w:eastAsia="方正仿宋_GB2312" w:cs="方正仿宋_GB2312"/>
          <w:szCs w:val="32"/>
        </w:rPr>
        <w:tab/>
      </w:r>
      <w:r>
        <w:rPr>
          <w:rFonts w:hint="eastAsia" w:ascii="方正仿宋_GB2312" w:hAnsi="方正仿宋_GB2312" w:eastAsia="方正仿宋_GB2312" w:cs="方正仿宋_GB2312"/>
          <w:szCs w:val="32"/>
        </w:rPr>
        <w:t>GB/T41392-2022  数字化车间可靠性通用要求、GB/T 41260-2022  数字化车间信息安全要求、</w:t>
      </w:r>
      <w:r>
        <w:rPr>
          <w:rFonts w:ascii="方正仿宋_GB2312" w:hAnsi="方正仿宋_GB2312" w:eastAsia="方正仿宋_GB2312" w:cs="方正仿宋_GB2312"/>
          <w:szCs w:val="32"/>
        </w:rPr>
        <w:tab/>
      </w:r>
      <w:r>
        <w:rPr>
          <w:rFonts w:hint="eastAsia" w:ascii="方正仿宋_GB2312" w:hAnsi="方正仿宋_GB2312" w:eastAsia="方正仿宋_GB2312" w:cs="方正仿宋_GB2312"/>
          <w:szCs w:val="32"/>
        </w:rPr>
        <w:t>GB/T 41257-2022  数字化车间功能安全要求、GB/T 37413-2019  数字化车间 术语和定义、</w:t>
      </w:r>
      <w:r>
        <w:rPr>
          <w:rFonts w:ascii="方正仿宋_GB2312" w:hAnsi="方正仿宋_GB2312" w:eastAsia="方正仿宋_GB2312" w:cs="方正仿宋_GB2312"/>
          <w:szCs w:val="32"/>
        </w:rPr>
        <w:tab/>
      </w:r>
      <w:r>
        <w:rPr>
          <w:rFonts w:hint="eastAsia" w:ascii="方正仿宋_GB2312" w:hAnsi="方正仿宋_GB2312" w:eastAsia="方正仿宋_GB2312" w:cs="方正仿宋_GB2312"/>
          <w:szCs w:val="32"/>
        </w:rPr>
        <w:t>GB/T 37393-2019  数字化车间 通用技术要求、GB/T 23001—2017《信息化和工业化融合管理体系 要求》、GB/T 23022—2022《信息化和工业化融合管理体系 生产设备运行管理规范》等。</w:t>
      </w:r>
    </w:p>
    <w:p w14:paraId="39BAE239">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与本标准，密切相关的地方标准有DB2102/T 0127  企业数字化转型实施指南、DB21/T 3869  数字化车间和智能工厂评价通则</w:t>
      </w:r>
    </w:p>
    <w:p w14:paraId="0664508A">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本标准是在现在国家标准和地方标准的基础上，结合辽宁省相关技术内容编制，重新梳理了建设内容和实施指南的要素，更加适合我市预制菜企业开展智能化技术改造。</w:t>
      </w:r>
    </w:p>
    <w:p w14:paraId="2FA3B01F">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本标准与现行法律法规和强制性标准不矛盾、不重复，是相互补充、相互支撑的协调关系。</w:t>
      </w:r>
    </w:p>
    <w:p w14:paraId="1C8317CE">
      <w:p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五、征求意见和分歧处理情况</w:t>
      </w:r>
    </w:p>
    <w:p w14:paraId="52215E3B">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目前未收到分歧意见。若有意见反馈，起草单位将认真论证取舍。</w:t>
      </w:r>
    </w:p>
    <w:p w14:paraId="38200777">
      <w:pPr>
        <w:ind w:left="640" w:leftChars="200" w:firstLine="0" w:firstLineChars="0"/>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 xml:space="preserve">六、推动标准实施的措施建议 </w:t>
      </w:r>
    </w:p>
    <w:p w14:paraId="728DD0A2">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本标准为推荐性地方标准，建议过渡期为一个月。建议过渡期间进行本标准的宣贯培训工作，根据本标准的适用范围，将主要面向预制菜生产企业进行标准的培训与宣贯，采用专家讲座、系列课程、交流答疑、发放宣贯材料等方式，积极推进标准实施后的应用。标准宣贯的目的在于使相关人员能更好的理解、执行本标准，推进标准的贯彻和实施。</w:t>
      </w:r>
    </w:p>
    <w:p w14:paraId="5DC84E45">
      <w:pPr>
        <w:numPr>
          <w:ilvl w:val="0"/>
          <w:numId w:val="4"/>
        </w:numPr>
        <w:ind w:firstLine="643"/>
        <w:rPr>
          <w:rFonts w:ascii="方正仿宋_GB2312" w:hAnsi="方正仿宋_GB2312" w:eastAsia="方正仿宋_GB2312" w:cs="方正仿宋_GB2312"/>
          <w:b/>
          <w:bCs/>
          <w:szCs w:val="32"/>
        </w:rPr>
      </w:pPr>
      <w:r>
        <w:rPr>
          <w:rFonts w:hint="eastAsia" w:ascii="方正仿宋_GB2312" w:hAnsi="方正仿宋_GB2312" w:eastAsia="方正仿宋_GB2312" w:cs="方正仿宋_GB2312"/>
          <w:b/>
          <w:bCs/>
          <w:szCs w:val="32"/>
        </w:rPr>
        <w:t>其他应说明的事项</w:t>
      </w:r>
    </w:p>
    <w:p w14:paraId="48BFF770">
      <w:pPr>
        <w:ind w:firstLine="64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为提高标准质量，请各单位在执行本标准的过程中，注</w:t>
      </w:r>
    </w:p>
    <w:p w14:paraId="3DAA749F">
      <w:pPr>
        <w:ind w:firstLine="0" w:firstLineChars="0"/>
        <w:rPr>
          <w:rFonts w:ascii="方正仿宋_GB2312" w:hAnsi="方正仿宋_GB2312" w:eastAsia="方正仿宋_GB2312" w:cs="方正仿宋_GB2312"/>
          <w:szCs w:val="32"/>
        </w:rPr>
      </w:pPr>
      <w:r>
        <w:rPr>
          <w:rFonts w:hint="eastAsia" w:ascii="方正仿宋_GB2312" w:hAnsi="方正仿宋_GB2312" w:eastAsia="方正仿宋_GB2312" w:cs="方正仿宋_GB2312"/>
          <w:szCs w:val="32"/>
        </w:rPr>
        <w:t>意积累资料，总结经验，如发现需要修改和补充之处，请将</w:t>
      </w:r>
    </w:p>
    <w:p w14:paraId="615D68A4">
      <w:pPr>
        <w:ind w:firstLine="0" w:firstLineChars="0"/>
      </w:pPr>
      <w:r>
        <w:rPr>
          <w:rFonts w:hint="eastAsia" w:ascii="方正仿宋_GB2312" w:hAnsi="方正仿宋_GB2312" w:eastAsia="方正仿宋_GB2312" w:cs="方正仿宋_GB2312"/>
          <w:szCs w:val="32"/>
        </w:rPr>
        <w:t>意见和有关资料及时反馈给我们，供今后修订参考。</w:t>
      </w:r>
    </w:p>
    <w:p w14:paraId="45C1280B">
      <w:pPr>
        <w:ind w:firstLine="0" w:firstLineChars="0"/>
      </w:pPr>
    </w:p>
    <w:sectPr>
      <w:footerReference r:id="rId11" w:type="default"/>
      <w:pgSz w:w="11906" w:h="16838"/>
      <w:pgMar w:top="1440" w:right="1800" w:bottom="1440" w:left="1800" w:header="851" w:footer="992" w:gutter="0"/>
      <w:pgNumType w:start="15"/>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方正小标宋简体">
    <w:altName w:val="Arial Unicode MS"/>
    <w:panose1 w:val="00000000000000000000"/>
    <w:charset w:val="86"/>
    <w:family w:val="script"/>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方正仿宋_GB2312">
    <w:altName w:val="仿宋"/>
    <w:panose1 w:val="00000000000000000000"/>
    <w:charset w:val="86"/>
    <w:family w:val="auto"/>
    <w:pitch w:val="default"/>
    <w:sig w:usb0="00000000" w:usb1="00000000" w:usb2="00000012" w:usb3="00000000" w:csb0="00040001" w:csb1="00000000"/>
  </w:font>
  <w:font w:name="Arial">
    <w:panose1 w:val="020B0604020202020204"/>
    <w:charset w:val="00"/>
    <w:family w:val="swiss"/>
    <w:pitch w:val="default"/>
    <w:sig w:usb0="E0002EFF" w:usb1="C000785B" w:usb2="00000009" w:usb3="00000000" w:csb0="400001FF" w:csb1="FFFF0000"/>
  </w:font>
  <w:font w:name="___WRD_EMBED_SUB_325">
    <w:altName w:val="宋体"/>
    <w:panose1 w:val="02000000000000000000"/>
    <w:charset w:val="86"/>
    <w:family w:val="auto"/>
    <w:pitch w:val="default"/>
    <w:sig w:usb0="00000000" w:usb1="00000000"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1ADF2">
    <w:pPr>
      <w:pStyle w:val="4"/>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1F44B84">
                          <w:pPr>
                            <w:pStyle w:val="4"/>
                            <w:ind w:firstLine="360"/>
                          </w:pPr>
                          <w:r>
                            <w:fldChar w:fldCharType="begin"/>
                          </w:r>
                          <w:r>
                            <w:instrText xml:space="preserve"> PAGE  \* MERGEFORMAT </w:instrText>
                          </w:r>
                          <w:r>
                            <w:fldChar w:fldCharType="separate"/>
                          </w:r>
                          <w:r>
                            <w:t>1</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Ju61xDCAQAAjQMAAA4AAAAAAAAAAQAgAAAAHgEAAGRycy9lMm9Eb2MueG1sUEsF&#10;BgAAAAAGAAYAWQEAAFIFAAAAAA==&#10;">
              <v:fill on="f" focussize="0,0"/>
              <v:stroke on="f"/>
              <v:imagedata o:title=""/>
              <o:lock v:ext="edit" aspectratio="f"/>
              <v:textbox inset="0mm,0mm,0mm,0mm" style="mso-fit-shape-to-text:t;">
                <w:txbxContent>
                  <w:p w14:paraId="21F44B84">
                    <w:pPr>
                      <w:pStyle w:val="4"/>
                      <w:ind w:firstLine="36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44633">
    <w:pPr>
      <w:pStyle w:val="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C2512">
    <w:pPr>
      <w:pStyle w:val="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D7CA85">
    <w:pPr>
      <w:pStyle w:val="4"/>
      <w:ind w:firstLine="360"/>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69DCE7">
                          <w:pPr>
                            <w:pStyle w:val="4"/>
                            <w:ind w:firstLine="360"/>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3069DCE7">
                    <w:pPr>
                      <w:pStyle w:val="4"/>
                      <w:ind w:firstLine="360"/>
                    </w:pPr>
                    <w:r>
                      <w:fldChar w:fldCharType="begin"/>
                    </w:r>
                    <w:r>
                      <w:instrText xml:space="preserve"> PAGE  \* MERGEFORMAT </w:instrText>
                    </w:r>
                    <w:r>
                      <w:fldChar w:fldCharType="separate"/>
                    </w:r>
                    <w:r>
                      <w:t>15</w:t>
                    </w:r>
                    <w:r>
                      <w:fldChar w:fldCharType="end"/>
                    </w:r>
                  </w:p>
                </w:txbxContent>
              </v:textbox>
            </v:shape>
          </w:pict>
        </mc:Fallback>
      </mc:AlternateContent>
    </w:r>
    <w:r>
      <w:rPr>
        <w:rFonts w:hint="eastAsia"/>
      </w:rPr>
      <w:t>15</w:t>
    </w:r>
  </w:p>
  <w:p w14:paraId="255ADA8F">
    <w:pPr>
      <w:pStyle w:val="4"/>
      <w:ind w:firstLine="360"/>
    </w:pPr>
  </w:p>
  <w:p w14:paraId="66F0AA4A">
    <w:pPr>
      <w:pStyle w:val="4"/>
      <w:tabs>
        <w:tab w:val="clear" w:pos="8306"/>
      </w:tabs>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320D3F">
    <w:pPr>
      <w:pStyle w:val="5"/>
      <w:pBdr>
        <w:bottom w:val="none" w:color="auto" w:sz="0" w:space="0"/>
      </w:pBdr>
      <w:ind w:firstLine="360"/>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6E44EF">
    <w:pPr>
      <w:pStyle w:val="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7F41C">
    <w:pPr>
      <w:pStyle w:val="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6E7441D"/>
    <w:multiLevelType w:val="singleLevel"/>
    <w:tmpl w:val="C6E7441D"/>
    <w:lvl w:ilvl="0" w:tentative="0">
      <w:start w:val="1"/>
      <w:numFmt w:val="chineseCounting"/>
      <w:suff w:val="nothing"/>
      <w:lvlText w:val="%1、"/>
      <w:lvlJc w:val="left"/>
      <w:rPr>
        <w:rFonts w:hint="eastAsia"/>
      </w:rPr>
    </w:lvl>
  </w:abstractNum>
  <w:abstractNum w:abstractNumId="1">
    <w:nsid w:val="CCE5E80E"/>
    <w:multiLevelType w:val="singleLevel"/>
    <w:tmpl w:val="CCE5E80E"/>
    <w:lvl w:ilvl="0" w:tentative="0">
      <w:start w:val="7"/>
      <w:numFmt w:val="chineseCounting"/>
      <w:suff w:val="nothing"/>
      <w:lvlText w:val="%1、"/>
      <w:lvlJc w:val="left"/>
      <w:rPr>
        <w:rFonts w:hint="eastAsia"/>
      </w:rPr>
    </w:lvl>
  </w:abstractNum>
  <w:abstractNum w:abstractNumId="2">
    <w:nsid w:val="33B0C238"/>
    <w:multiLevelType w:val="singleLevel"/>
    <w:tmpl w:val="33B0C238"/>
    <w:lvl w:ilvl="0" w:tentative="0">
      <w:start w:val="1"/>
      <w:numFmt w:val="decimal"/>
      <w:lvlText w:val="%1"/>
      <w:lvlJc w:val="left"/>
      <w:pPr>
        <w:tabs>
          <w:tab w:val="left" w:pos="420"/>
        </w:tabs>
        <w:ind w:left="425" w:hanging="425"/>
      </w:pPr>
      <w:rPr>
        <w:rFonts w:hint="default"/>
      </w:rPr>
    </w:lvl>
  </w:abstractNum>
  <w:abstractNum w:abstractNumId="3">
    <w:nsid w:val="3AF8016D"/>
    <w:multiLevelType w:val="singleLevel"/>
    <w:tmpl w:val="3AF8016D"/>
    <w:lvl w:ilvl="0" w:tentative="0">
      <w:start w:val="1"/>
      <w:numFmt w:val="chineseCounting"/>
      <w:suff w:val="nothing"/>
      <w:lvlText w:val="（%1）"/>
      <w:lvlJc w:val="left"/>
      <w:rPr>
        <w:rFonts w:hint="eastAsia"/>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RlZmYyZmQ0OWI2NjVhMmIwMTU4NWE4MGIxMzg3ZmMifQ=="/>
  </w:docVars>
  <w:rsids>
    <w:rsidRoot w:val="0E015098"/>
    <w:rsid w:val="000265BB"/>
    <w:rsid w:val="00067951"/>
    <w:rsid w:val="00094EE4"/>
    <w:rsid w:val="00096648"/>
    <w:rsid w:val="00177A95"/>
    <w:rsid w:val="001D7E14"/>
    <w:rsid w:val="00233998"/>
    <w:rsid w:val="002D7FEA"/>
    <w:rsid w:val="002E438A"/>
    <w:rsid w:val="00364C08"/>
    <w:rsid w:val="00373C88"/>
    <w:rsid w:val="00406486"/>
    <w:rsid w:val="00446DC8"/>
    <w:rsid w:val="004628A4"/>
    <w:rsid w:val="004B06F7"/>
    <w:rsid w:val="004B46B5"/>
    <w:rsid w:val="004E6244"/>
    <w:rsid w:val="00596042"/>
    <w:rsid w:val="005C6FE8"/>
    <w:rsid w:val="005E56BC"/>
    <w:rsid w:val="00612424"/>
    <w:rsid w:val="00630564"/>
    <w:rsid w:val="006C4063"/>
    <w:rsid w:val="0070546A"/>
    <w:rsid w:val="00766416"/>
    <w:rsid w:val="007A6131"/>
    <w:rsid w:val="00800B58"/>
    <w:rsid w:val="009754DE"/>
    <w:rsid w:val="009C2E54"/>
    <w:rsid w:val="009F46A5"/>
    <w:rsid w:val="00A22D22"/>
    <w:rsid w:val="00A4589C"/>
    <w:rsid w:val="00AB58C2"/>
    <w:rsid w:val="00AF6718"/>
    <w:rsid w:val="00B4570B"/>
    <w:rsid w:val="00C170C1"/>
    <w:rsid w:val="00C744C0"/>
    <w:rsid w:val="00CB6508"/>
    <w:rsid w:val="00D123EB"/>
    <w:rsid w:val="00D36D5E"/>
    <w:rsid w:val="00D91401"/>
    <w:rsid w:val="00DB3B43"/>
    <w:rsid w:val="00DD4B41"/>
    <w:rsid w:val="00DD734F"/>
    <w:rsid w:val="00E2043A"/>
    <w:rsid w:val="00F230C5"/>
    <w:rsid w:val="00F677B0"/>
    <w:rsid w:val="00F774A9"/>
    <w:rsid w:val="00FE6B5B"/>
    <w:rsid w:val="01816E58"/>
    <w:rsid w:val="019A0019"/>
    <w:rsid w:val="01A531D9"/>
    <w:rsid w:val="01BC318F"/>
    <w:rsid w:val="020B098C"/>
    <w:rsid w:val="029037B5"/>
    <w:rsid w:val="02A85C61"/>
    <w:rsid w:val="02C80845"/>
    <w:rsid w:val="02CB799F"/>
    <w:rsid w:val="02D21EEA"/>
    <w:rsid w:val="02E860EC"/>
    <w:rsid w:val="032B06A0"/>
    <w:rsid w:val="035F7893"/>
    <w:rsid w:val="036527C3"/>
    <w:rsid w:val="03756894"/>
    <w:rsid w:val="03DF4999"/>
    <w:rsid w:val="03E30C15"/>
    <w:rsid w:val="048216A2"/>
    <w:rsid w:val="04B37223"/>
    <w:rsid w:val="04CC10EA"/>
    <w:rsid w:val="04EF4348"/>
    <w:rsid w:val="05294CD1"/>
    <w:rsid w:val="0548455F"/>
    <w:rsid w:val="056A6827"/>
    <w:rsid w:val="058A4FE5"/>
    <w:rsid w:val="059C39D4"/>
    <w:rsid w:val="05A23B28"/>
    <w:rsid w:val="05C06BF1"/>
    <w:rsid w:val="05D21C9E"/>
    <w:rsid w:val="06105B36"/>
    <w:rsid w:val="061C292C"/>
    <w:rsid w:val="0625473D"/>
    <w:rsid w:val="06917DF9"/>
    <w:rsid w:val="06BC7F2B"/>
    <w:rsid w:val="06D20F9A"/>
    <w:rsid w:val="0703249B"/>
    <w:rsid w:val="07095B6F"/>
    <w:rsid w:val="07587AB4"/>
    <w:rsid w:val="0763698D"/>
    <w:rsid w:val="07662740"/>
    <w:rsid w:val="07A22159"/>
    <w:rsid w:val="07CC5A14"/>
    <w:rsid w:val="07DD22BE"/>
    <w:rsid w:val="08181162"/>
    <w:rsid w:val="081A729F"/>
    <w:rsid w:val="081C07C1"/>
    <w:rsid w:val="08653186"/>
    <w:rsid w:val="087975DD"/>
    <w:rsid w:val="08870BD6"/>
    <w:rsid w:val="088D030C"/>
    <w:rsid w:val="08967214"/>
    <w:rsid w:val="089C15AB"/>
    <w:rsid w:val="08B65B08"/>
    <w:rsid w:val="08C63220"/>
    <w:rsid w:val="08C85E69"/>
    <w:rsid w:val="08F02AF3"/>
    <w:rsid w:val="08FE0A56"/>
    <w:rsid w:val="090565E0"/>
    <w:rsid w:val="09340A8A"/>
    <w:rsid w:val="093410C0"/>
    <w:rsid w:val="093F02C0"/>
    <w:rsid w:val="095B4F98"/>
    <w:rsid w:val="097109B1"/>
    <w:rsid w:val="09842A38"/>
    <w:rsid w:val="098C456C"/>
    <w:rsid w:val="09903B83"/>
    <w:rsid w:val="09BF74A1"/>
    <w:rsid w:val="09D30413"/>
    <w:rsid w:val="09F9559D"/>
    <w:rsid w:val="0A416BA7"/>
    <w:rsid w:val="0A6A3C89"/>
    <w:rsid w:val="0A6E3EC8"/>
    <w:rsid w:val="0A7568C4"/>
    <w:rsid w:val="0A836648"/>
    <w:rsid w:val="0A921C87"/>
    <w:rsid w:val="0A983CFC"/>
    <w:rsid w:val="0AA163FE"/>
    <w:rsid w:val="0AF214A7"/>
    <w:rsid w:val="0B1418CD"/>
    <w:rsid w:val="0B5A64BF"/>
    <w:rsid w:val="0B5F171D"/>
    <w:rsid w:val="0B812654"/>
    <w:rsid w:val="0B9B5551"/>
    <w:rsid w:val="0BC071B7"/>
    <w:rsid w:val="0C3A77C6"/>
    <w:rsid w:val="0C7D63A8"/>
    <w:rsid w:val="0CA11DC5"/>
    <w:rsid w:val="0CC537F8"/>
    <w:rsid w:val="0D0903DE"/>
    <w:rsid w:val="0D0E5D6A"/>
    <w:rsid w:val="0D4269FF"/>
    <w:rsid w:val="0D88412A"/>
    <w:rsid w:val="0D8F5E24"/>
    <w:rsid w:val="0DA80E72"/>
    <w:rsid w:val="0DAB71FE"/>
    <w:rsid w:val="0DB50E56"/>
    <w:rsid w:val="0DFA0603"/>
    <w:rsid w:val="0E015098"/>
    <w:rsid w:val="0E095FEC"/>
    <w:rsid w:val="0E0F6CD5"/>
    <w:rsid w:val="0E22116A"/>
    <w:rsid w:val="0E2D4415"/>
    <w:rsid w:val="0E315B2F"/>
    <w:rsid w:val="0E376FD8"/>
    <w:rsid w:val="0E4B4DB6"/>
    <w:rsid w:val="0E566296"/>
    <w:rsid w:val="0E6B3522"/>
    <w:rsid w:val="0E7E10BA"/>
    <w:rsid w:val="0E852A70"/>
    <w:rsid w:val="0EA61F9C"/>
    <w:rsid w:val="0EAD2705"/>
    <w:rsid w:val="0EED6FF0"/>
    <w:rsid w:val="0F210B73"/>
    <w:rsid w:val="0F3E77D0"/>
    <w:rsid w:val="0F447A02"/>
    <w:rsid w:val="0F5A4106"/>
    <w:rsid w:val="0F7E46BF"/>
    <w:rsid w:val="0F9207D1"/>
    <w:rsid w:val="0FD40E1E"/>
    <w:rsid w:val="0FDF6D96"/>
    <w:rsid w:val="101468E8"/>
    <w:rsid w:val="102E3932"/>
    <w:rsid w:val="107A03AA"/>
    <w:rsid w:val="10AC7424"/>
    <w:rsid w:val="10B53F05"/>
    <w:rsid w:val="11011DF3"/>
    <w:rsid w:val="112459E0"/>
    <w:rsid w:val="112E3A1F"/>
    <w:rsid w:val="114925EC"/>
    <w:rsid w:val="115C05DF"/>
    <w:rsid w:val="118578B2"/>
    <w:rsid w:val="11DD0317"/>
    <w:rsid w:val="11DF2E61"/>
    <w:rsid w:val="11EA6EBB"/>
    <w:rsid w:val="11FD0E90"/>
    <w:rsid w:val="12204C7A"/>
    <w:rsid w:val="125068CA"/>
    <w:rsid w:val="12581F15"/>
    <w:rsid w:val="125B7E4F"/>
    <w:rsid w:val="12647C9E"/>
    <w:rsid w:val="12921E19"/>
    <w:rsid w:val="12AD3013"/>
    <w:rsid w:val="12B63B9F"/>
    <w:rsid w:val="12D55667"/>
    <w:rsid w:val="12F322F5"/>
    <w:rsid w:val="130D5A70"/>
    <w:rsid w:val="130F0382"/>
    <w:rsid w:val="13261560"/>
    <w:rsid w:val="133C1745"/>
    <w:rsid w:val="13491ED8"/>
    <w:rsid w:val="13AC461E"/>
    <w:rsid w:val="13CE1DBA"/>
    <w:rsid w:val="13D76999"/>
    <w:rsid w:val="13FD654D"/>
    <w:rsid w:val="140A1052"/>
    <w:rsid w:val="140B49CE"/>
    <w:rsid w:val="14311F90"/>
    <w:rsid w:val="14661AA4"/>
    <w:rsid w:val="14AB0DB3"/>
    <w:rsid w:val="14CF75B8"/>
    <w:rsid w:val="14DD6D4C"/>
    <w:rsid w:val="152B4AF6"/>
    <w:rsid w:val="15545A1C"/>
    <w:rsid w:val="1585145A"/>
    <w:rsid w:val="15E430CA"/>
    <w:rsid w:val="16617B54"/>
    <w:rsid w:val="16B02652"/>
    <w:rsid w:val="16D0392D"/>
    <w:rsid w:val="16D74011"/>
    <w:rsid w:val="16FF1BC5"/>
    <w:rsid w:val="170E11F8"/>
    <w:rsid w:val="1774570F"/>
    <w:rsid w:val="177903C4"/>
    <w:rsid w:val="178E03E0"/>
    <w:rsid w:val="17C76AA6"/>
    <w:rsid w:val="17D16984"/>
    <w:rsid w:val="17EE0036"/>
    <w:rsid w:val="17EE5893"/>
    <w:rsid w:val="17F31AF6"/>
    <w:rsid w:val="17FF2FA3"/>
    <w:rsid w:val="181F2070"/>
    <w:rsid w:val="1829431D"/>
    <w:rsid w:val="183A2F5A"/>
    <w:rsid w:val="18543932"/>
    <w:rsid w:val="185F1C15"/>
    <w:rsid w:val="18B736C4"/>
    <w:rsid w:val="18C82E81"/>
    <w:rsid w:val="19737585"/>
    <w:rsid w:val="198D7353"/>
    <w:rsid w:val="19923075"/>
    <w:rsid w:val="199C0212"/>
    <w:rsid w:val="19D24F2B"/>
    <w:rsid w:val="19D26AD1"/>
    <w:rsid w:val="19D66E6D"/>
    <w:rsid w:val="1A3633F4"/>
    <w:rsid w:val="1A4102D8"/>
    <w:rsid w:val="1A451E40"/>
    <w:rsid w:val="1ACC7061"/>
    <w:rsid w:val="1AE121A1"/>
    <w:rsid w:val="1B12613C"/>
    <w:rsid w:val="1B1F36D0"/>
    <w:rsid w:val="1B537676"/>
    <w:rsid w:val="1B9B04EA"/>
    <w:rsid w:val="1BC54F4A"/>
    <w:rsid w:val="1C736561"/>
    <w:rsid w:val="1C94041A"/>
    <w:rsid w:val="1CA31DB7"/>
    <w:rsid w:val="1CD43549"/>
    <w:rsid w:val="1D0E54C6"/>
    <w:rsid w:val="1D1513CB"/>
    <w:rsid w:val="1D1A23CD"/>
    <w:rsid w:val="1D237667"/>
    <w:rsid w:val="1DCC42A0"/>
    <w:rsid w:val="1DCF0ABA"/>
    <w:rsid w:val="1E1667CB"/>
    <w:rsid w:val="1E1A0CF2"/>
    <w:rsid w:val="1E6C6B5D"/>
    <w:rsid w:val="1E751D92"/>
    <w:rsid w:val="1E8B422F"/>
    <w:rsid w:val="1EB85FE0"/>
    <w:rsid w:val="1EBB0582"/>
    <w:rsid w:val="1EE935E1"/>
    <w:rsid w:val="1EEB48F2"/>
    <w:rsid w:val="1EF2299B"/>
    <w:rsid w:val="1EFB7C94"/>
    <w:rsid w:val="1F6B4238"/>
    <w:rsid w:val="1F9C0BA4"/>
    <w:rsid w:val="1FBF04AB"/>
    <w:rsid w:val="1FBF75FA"/>
    <w:rsid w:val="1FCB7DCB"/>
    <w:rsid w:val="1FDF5B75"/>
    <w:rsid w:val="204316C6"/>
    <w:rsid w:val="208104AB"/>
    <w:rsid w:val="209D3369"/>
    <w:rsid w:val="20A73EF5"/>
    <w:rsid w:val="20DD0C6D"/>
    <w:rsid w:val="2101586E"/>
    <w:rsid w:val="2103103D"/>
    <w:rsid w:val="212134BA"/>
    <w:rsid w:val="213224EA"/>
    <w:rsid w:val="21400278"/>
    <w:rsid w:val="217D460F"/>
    <w:rsid w:val="21C75177"/>
    <w:rsid w:val="21FC34BF"/>
    <w:rsid w:val="222B707F"/>
    <w:rsid w:val="22425114"/>
    <w:rsid w:val="224E082C"/>
    <w:rsid w:val="228424CD"/>
    <w:rsid w:val="22876F0A"/>
    <w:rsid w:val="22B8322E"/>
    <w:rsid w:val="22BA62C4"/>
    <w:rsid w:val="22C5556B"/>
    <w:rsid w:val="22DF4E2F"/>
    <w:rsid w:val="22F576E9"/>
    <w:rsid w:val="22F632B8"/>
    <w:rsid w:val="232E3BD5"/>
    <w:rsid w:val="23442169"/>
    <w:rsid w:val="23827B01"/>
    <w:rsid w:val="239E2898"/>
    <w:rsid w:val="240D7492"/>
    <w:rsid w:val="24170EB8"/>
    <w:rsid w:val="241B592D"/>
    <w:rsid w:val="24503EA8"/>
    <w:rsid w:val="24594A40"/>
    <w:rsid w:val="2463559A"/>
    <w:rsid w:val="24795C1B"/>
    <w:rsid w:val="24AF5808"/>
    <w:rsid w:val="24C61976"/>
    <w:rsid w:val="24C648E7"/>
    <w:rsid w:val="25135B9E"/>
    <w:rsid w:val="254C1B4C"/>
    <w:rsid w:val="255C6C18"/>
    <w:rsid w:val="257558C7"/>
    <w:rsid w:val="25BE4C76"/>
    <w:rsid w:val="25C41DB0"/>
    <w:rsid w:val="25F36D38"/>
    <w:rsid w:val="25F541C1"/>
    <w:rsid w:val="26090CE3"/>
    <w:rsid w:val="26271804"/>
    <w:rsid w:val="26674BE7"/>
    <w:rsid w:val="266C6AF9"/>
    <w:rsid w:val="26A33200"/>
    <w:rsid w:val="26AC276D"/>
    <w:rsid w:val="26C239A4"/>
    <w:rsid w:val="27251876"/>
    <w:rsid w:val="273E59E4"/>
    <w:rsid w:val="276B1DB7"/>
    <w:rsid w:val="277E0CA9"/>
    <w:rsid w:val="27C57753"/>
    <w:rsid w:val="27DA7FD1"/>
    <w:rsid w:val="27FD237F"/>
    <w:rsid w:val="281C60CB"/>
    <w:rsid w:val="288075A2"/>
    <w:rsid w:val="288D470A"/>
    <w:rsid w:val="28D871C6"/>
    <w:rsid w:val="28DA1F18"/>
    <w:rsid w:val="28F91AED"/>
    <w:rsid w:val="293B41BF"/>
    <w:rsid w:val="297E3C2D"/>
    <w:rsid w:val="2992184E"/>
    <w:rsid w:val="29BD0A3F"/>
    <w:rsid w:val="29C35D02"/>
    <w:rsid w:val="29E0165E"/>
    <w:rsid w:val="29F500EF"/>
    <w:rsid w:val="29F706B9"/>
    <w:rsid w:val="2A0D5087"/>
    <w:rsid w:val="2A197580"/>
    <w:rsid w:val="2A1B3CEE"/>
    <w:rsid w:val="2A605CCA"/>
    <w:rsid w:val="2A7379CA"/>
    <w:rsid w:val="2A7E40E2"/>
    <w:rsid w:val="2AAF2721"/>
    <w:rsid w:val="2AC9478C"/>
    <w:rsid w:val="2AD4457A"/>
    <w:rsid w:val="2B0B3913"/>
    <w:rsid w:val="2B194928"/>
    <w:rsid w:val="2B286F1D"/>
    <w:rsid w:val="2B7F232D"/>
    <w:rsid w:val="2B833829"/>
    <w:rsid w:val="2BAA73AE"/>
    <w:rsid w:val="2BC031BD"/>
    <w:rsid w:val="2BD40180"/>
    <w:rsid w:val="2BE4783E"/>
    <w:rsid w:val="2BF37697"/>
    <w:rsid w:val="2C0D655E"/>
    <w:rsid w:val="2C1B65DE"/>
    <w:rsid w:val="2C3D7915"/>
    <w:rsid w:val="2C726E9C"/>
    <w:rsid w:val="2C732F4D"/>
    <w:rsid w:val="2C800560"/>
    <w:rsid w:val="2C8335D9"/>
    <w:rsid w:val="2CB20460"/>
    <w:rsid w:val="2CB75277"/>
    <w:rsid w:val="2CBF1C32"/>
    <w:rsid w:val="2CD6755E"/>
    <w:rsid w:val="2CD863F7"/>
    <w:rsid w:val="2D0C2B22"/>
    <w:rsid w:val="2D152D17"/>
    <w:rsid w:val="2D1A3708"/>
    <w:rsid w:val="2D5729E0"/>
    <w:rsid w:val="2D766B63"/>
    <w:rsid w:val="2DC45A56"/>
    <w:rsid w:val="2DC66D9A"/>
    <w:rsid w:val="2DD564C8"/>
    <w:rsid w:val="2DDE1486"/>
    <w:rsid w:val="2DE260EB"/>
    <w:rsid w:val="2E492191"/>
    <w:rsid w:val="2E942F84"/>
    <w:rsid w:val="2EBC1FFE"/>
    <w:rsid w:val="2EC906BC"/>
    <w:rsid w:val="2EDD2ADD"/>
    <w:rsid w:val="2EE3610F"/>
    <w:rsid w:val="2EFE4C8F"/>
    <w:rsid w:val="2F2D4D7B"/>
    <w:rsid w:val="2F3F4F52"/>
    <w:rsid w:val="2F4B5244"/>
    <w:rsid w:val="2F6556DC"/>
    <w:rsid w:val="2F6A4A11"/>
    <w:rsid w:val="2F755EC9"/>
    <w:rsid w:val="2F9468A2"/>
    <w:rsid w:val="2F9F1FFB"/>
    <w:rsid w:val="2FA111EC"/>
    <w:rsid w:val="2FB70C8B"/>
    <w:rsid w:val="2FCC7FAC"/>
    <w:rsid w:val="2FEF0B88"/>
    <w:rsid w:val="30202800"/>
    <w:rsid w:val="306A326C"/>
    <w:rsid w:val="30C34E4C"/>
    <w:rsid w:val="30D115AF"/>
    <w:rsid w:val="30F84433"/>
    <w:rsid w:val="31217E01"/>
    <w:rsid w:val="31413CF2"/>
    <w:rsid w:val="317A2227"/>
    <w:rsid w:val="31C0543E"/>
    <w:rsid w:val="31E94DD1"/>
    <w:rsid w:val="32024E86"/>
    <w:rsid w:val="32421104"/>
    <w:rsid w:val="32531492"/>
    <w:rsid w:val="3279360C"/>
    <w:rsid w:val="327D0B65"/>
    <w:rsid w:val="327E4C5E"/>
    <w:rsid w:val="32832222"/>
    <w:rsid w:val="328E53AF"/>
    <w:rsid w:val="32A2302E"/>
    <w:rsid w:val="32A52872"/>
    <w:rsid w:val="32FE4A82"/>
    <w:rsid w:val="331040CC"/>
    <w:rsid w:val="33306033"/>
    <w:rsid w:val="33537AF7"/>
    <w:rsid w:val="33792783"/>
    <w:rsid w:val="33B32273"/>
    <w:rsid w:val="34273B5B"/>
    <w:rsid w:val="34480EBB"/>
    <w:rsid w:val="3455070E"/>
    <w:rsid w:val="346819D0"/>
    <w:rsid w:val="34845668"/>
    <w:rsid w:val="349159A7"/>
    <w:rsid w:val="34BA0D1F"/>
    <w:rsid w:val="34CF3216"/>
    <w:rsid w:val="3503669C"/>
    <w:rsid w:val="356A657D"/>
    <w:rsid w:val="356B5412"/>
    <w:rsid w:val="35756E65"/>
    <w:rsid w:val="35D553CF"/>
    <w:rsid w:val="360448AB"/>
    <w:rsid w:val="36510089"/>
    <w:rsid w:val="36AF79FC"/>
    <w:rsid w:val="36CD085B"/>
    <w:rsid w:val="36DB2FE7"/>
    <w:rsid w:val="36DD531A"/>
    <w:rsid w:val="37260269"/>
    <w:rsid w:val="372A0784"/>
    <w:rsid w:val="3743422E"/>
    <w:rsid w:val="37454690"/>
    <w:rsid w:val="375F063D"/>
    <w:rsid w:val="3795374E"/>
    <w:rsid w:val="37BE763F"/>
    <w:rsid w:val="37C94A9E"/>
    <w:rsid w:val="37D24DB2"/>
    <w:rsid w:val="37F124AB"/>
    <w:rsid w:val="390C0F2B"/>
    <w:rsid w:val="3924666B"/>
    <w:rsid w:val="39290F99"/>
    <w:rsid w:val="392C5C19"/>
    <w:rsid w:val="398A2EBC"/>
    <w:rsid w:val="399474A5"/>
    <w:rsid w:val="39BF5E15"/>
    <w:rsid w:val="39E22E1B"/>
    <w:rsid w:val="39E52BEE"/>
    <w:rsid w:val="39E818F3"/>
    <w:rsid w:val="3A2E12DA"/>
    <w:rsid w:val="3A3F3902"/>
    <w:rsid w:val="3A41228F"/>
    <w:rsid w:val="3A4C30BF"/>
    <w:rsid w:val="3A4F1A44"/>
    <w:rsid w:val="3A630195"/>
    <w:rsid w:val="3A6E3C55"/>
    <w:rsid w:val="3A791D5C"/>
    <w:rsid w:val="3AB556F7"/>
    <w:rsid w:val="3AC805D9"/>
    <w:rsid w:val="3AD10595"/>
    <w:rsid w:val="3AFB5B84"/>
    <w:rsid w:val="3B422DA7"/>
    <w:rsid w:val="3B5135F0"/>
    <w:rsid w:val="3B654BE6"/>
    <w:rsid w:val="3B6B3E80"/>
    <w:rsid w:val="3BA37542"/>
    <w:rsid w:val="3BB457F1"/>
    <w:rsid w:val="3BE67613"/>
    <w:rsid w:val="3BF53F8F"/>
    <w:rsid w:val="3BFA4291"/>
    <w:rsid w:val="3C431164"/>
    <w:rsid w:val="3C4D11C2"/>
    <w:rsid w:val="3C5523E0"/>
    <w:rsid w:val="3C7C7D62"/>
    <w:rsid w:val="3C7F28E7"/>
    <w:rsid w:val="3CBC66A4"/>
    <w:rsid w:val="3CDA3C05"/>
    <w:rsid w:val="3CFD7F2C"/>
    <w:rsid w:val="3D00789A"/>
    <w:rsid w:val="3D0C1DB1"/>
    <w:rsid w:val="3D1D5F23"/>
    <w:rsid w:val="3D414F14"/>
    <w:rsid w:val="3DA00B48"/>
    <w:rsid w:val="3DB06F96"/>
    <w:rsid w:val="3DC84908"/>
    <w:rsid w:val="3DCF1E55"/>
    <w:rsid w:val="3DF369AD"/>
    <w:rsid w:val="3E143028"/>
    <w:rsid w:val="3E394A5B"/>
    <w:rsid w:val="3E5B60FE"/>
    <w:rsid w:val="3E9560F0"/>
    <w:rsid w:val="3EB24296"/>
    <w:rsid w:val="3EBE366D"/>
    <w:rsid w:val="3ED6568C"/>
    <w:rsid w:val="3ED84D22"/>
    <w:rsid w:val="3EF64436"/>
    <w:rsid w:val="3F1039C0"/>
    <w:rsid w:val="3F3524B8"/>
    <w:rsid w:val="3F3D7D76"/>
    <w:rsid w:val="3F7A0397"/>
    <w:rsid w:val="3FAF73A7"/>
    <w:rsid w:val="406D49BB"/>
    <w:rsid w:val="409D3020"/>
    <w:rsid w:val="40C72C26"/>
    <w:rsid w:val="40E872F7"/>
    <w:rsid w:val="41071F7B"/>
    <w:rsid w:val="41614AA5"/>
    <w:rsid w:val="4182577A"/>
    <w:rsid w:val="42741E0B"/>
    <w:rsid w:val="42925885"/>
    <w:rsid w:val="42945B58"/>
    <w:rsid w:val="42AA3679"/>
    <w:rsid w:val="42B1011F"/>
    <w:rsid w:val="42C73922"/>
    <w:rsid w:val="42CF413E"/>
    <w:rsid w:val="43151A52"/>
    <w:rsid w:val="436442CB"/>
    <w:rsid w:val="43722A3D"/>
    <w:rsid w:val="43F508AD"/>
    <w:rsid w:val="4424116B"/>
    <w:rsid w:val="4460438D"/>
    <w:rsid w:val="44A81028"/>
    <w:rsid w:val="44AD781C"/>
    <w:rsid w:val="44D209C8"/>
    <w:rsid w:val="44E53E09"/>
    <w:rsid w:val="45435773"/>
    <w:rsid w:val="45653F71"/>
    <w:rsid w:val="4577053F"/>
    <w:rsid w:val="4578104F"/>
    <w:rsid w:val="458E3D11"/>
    <w:rsid w:val="45994153"/>
    <w:rsid w:val="45C803E6"/>
    <w:rsid w:val="466A693B"/>
    <w:rsid w:val="466D4690"/>
    <w:rsid w:val="46836F2E"/>
    <w:rsid w:val="46B6423F"/>
    <w:rsid w:val="46BF274B"/>
    <w:rsid w:val="46BF3CC3"/>
    <w:rsid w:val="46E424DE"/>
    <w:rsid w:val="46E43036"/>
    <w:rsid w:val="47090E61"/>
    <w:rsid w:val="47254812"/>
    <w:rsid w:val="47377BA4"/>
    <w:rsid w:val="473D37ED"/>
    <w:rsid w:val="473F6F77"/>
    <w:rsid w:val="4748002E"/>
    <w:rsid w:val="47A76CB9"/>
    <w:rsid w:val="47B938EB"/>
    <w:rsid w:val="47E572FD"/>
    <w:rsid w:val="47FE13A4"/>
    <w:rsid w:val="48180ACC"/>
    <w:rsid w:val="48376210"/>
    <w:rsid w:val="4854619B"/>
    <w:rsid w:val="485F790A"/>
    <w:rsid w:val="4882788B"/>
    <w:rsid w:val="48A01688"/>
    <w:rsid w:val="491370DD"/>
    <w:rsid w:val="492D7127"/>
    <w:rsid w:val="492D7C53"/>
    <w:rsid w:val="49306110"/>
    <w:rsid w:val="49620488"/>
    <w:rsid w:val="4977360E"/>
    <w:rsid w:val="49851DDD"/>
    <w:rsid w:val="49870BE5"/>
    <w:rsid w:val="49C83EED"/>
    <w:rsid w:val="49F258D9"/>
    <w:rsid w:val="4A220251"/>
    <w:rsid w:val="4A967D5C"/>
    <w:rsid w:val="4A9F7191"/>
    <w:rsid w:val="4AC82F8D"/>
    <w:rsid w:val="4B2A7542"/>
    <w:rsid w:val="4B4B3C78"/>
    <w:rsid w:val="4B74354C"/>
    <w:rsid w:val="4B914ABC"/>
    <w:rsid w:val="4BB43CDD"/>
    <w:rsid w:val="4BE177DB"/>
    <w:rsid w:val="4BEA73E8"/>
    <w:rsid w:val="4C7616FE"/>
    <w:rsid w:val="4C8B76B2"/>
    <w:rsid w:val="4D2D2CB1"/>
    <w:rsid w:val="4D2E7111"/>
    <w:rsid w:val="4D464569"/>
    <w:rsid w:val="4D6778B0"/>
    <w:rsid w:val="4D87071B"/>
    <w:rsid w:val="4D9C444E"/>
    <w:rsid w:val="4DA1431B"/>
    <w:rsid w:val="4E0B2CF5"/>
    <w:rsid w:val="4E3C12ED"/>
    <w:rsid w:val="4E3F2031"/>
    <w:rsid w:val="4E557C45"/>
    <w:rsid w:val="4E797E0C"/>
    <w:rsid w:val="4E8C6612"/>
    <w:rsid w:val="4EDB5693"/>
    <w:rsid w:val="4EEF40EF"/>
    <w:rsid w:val="4F114E2D"/>
    <w:rsid w:val="4F2E5C9F"/>
    <w:rsid w:val="4F987804"/>
    <w:rsid w:val="4FB17E3E"/>
    <w:rsid w:val="4FC77AC6"/>
    <w:rsid w:val="502E6318"/>
    <w:rsid w:val="504C328F"/>
    <w:rsid w:val="50EC39CD"/>
    <w:rsid w:val="511A0310"/>
    <w:rsid w:val="5125708E"/>
    <w:rsid w:val="513B267E"/>
    <w:rsid w:val="51421385"/>
    <w:rsid w:val="51421A78"/>
    <w:rsid w:val="51890B0D"/>
    <w:rsid w:val="519D6614"/>
    <w:rsid w:val="51AC5AF7"/>
    <w:rsid w:val="51BA2BE7"/>
    <w:rsid w:val="51DE2280"/>
    <w:rsid w:val="51E34CBD"/>
    <w:rsid w:val="51EC619E"/>
    <w:rsid w:val="51F42888"/>
    <w:rsid w:val="520D56D8"/>
    <w:rsid w:val="521F41F5"/>
    <w:rsid w:val="52455772"/>
    <w:rsid w:val="525B6FA3"/>
    <w:rsid w:val="52727002"/>
    <w:rsid w:val="52CC314D"/>
    <w:rsid w:val="52F61D3B"/>
    <w:rsid w:val="530F7366"/>
    <w:rsid w:val="532F7217"/>
    <w:rsid w:val="53402EF8"/>
    <w:rsid w:val="536B49B7"/>
    <w:rsid w:val="53B52A3D"/>
    <w:rsid w:val="53B910F0"/>
    <w:rsid w:val="53E36F18"/>
    <w:rsid w:val="53E94C60"/>
    <w:rsid w:val="54032A01"/>
    <w:rsid w:val="54096C7F"/>
    <w:rsid w:val="540D59CD"/>
    <w:rsid w:val="54265EE9"/>
    <w:rsid w:val="542A0E31"/>
    <w:rsid w:val="543C5B7E"/>
    <w:rsid w:val="545B3F57"/>
    <w:rsid w:val="546B2D45"/>
    <w:rsid w:val="54A0075D"/>
    <w:rsid w:val="54A52D15"/>
    <w:rsid w:val="54A84571"/>
    <w:rsid w:val="54A86CC5"/>
    <w:rsid w:val="54CC3AC4"/>
    <w:rsid w:val="551B5B57"/>
    <w:rsid w:val="554527E0"/>
    <w:rsid w:val="55471D7C"/>
    <w:rsid w:val="55726062"/>
    <w:rsid w:val="55D24044"/>
    <w:rsid w:val="55D63A2F"/>
    <w:rsid w:val="55EC72E3"/>
    <w:rsid w:val="55F619BD"/>
    <w:rsid w:val="56733C92"/>
    <w:rsid w:val="568B21D2"/>
    <w:rsid w:val="56A54D00"/>
    <w:rsid w:val="56B954F6"/>
    <w:rsid w:val="56B97E10"/>
    <w:rsid w:val="572D59DF"/>
    <w:rsid w:val="575903D0"/>
    <w:rsid w:val="57C978D3"/>
    <w:rsid w:val="57FC3344"/>
    <w:rsid w:val="58235BED"/>
    <w:rsid w:val="58382B0C"/>
    <w:rsid w:val="5863364C"/>
    <w:rsid w:val="58661FBF"/>
    <w:rsid w:val="58BF4C0C"/>
    <w:rsid w:val="592347F7"/>
    <w:rsid w:val="594B5D12"/>
    <w:rsid w:val="598658B6"/>
    <w:rsid w:val="59CB007F"/>
    <w:rsid w:val="59E310B4"/>
    <w:rsid w:val="5A4B48C5"/>
    <w:rsid w:val="5A50339F"/>
    <w:rsid w:val="5A610EB4"/>
    <w:rsid w:val="5A7257DE"/>
    <w:rsid w:val="5B27606C"/>
    <w:rsid w:val="5B3865CC"/>
    <w:rsid w:val="5B664480"/>
    <w:rsid w:val="5B90698F"/>
    <w:rsid w:val="5B927686"/>
    <w:rsid w:val="5BC43C42"/>
    <w:rsid w:val="5BEE1B90"/>
    <w:rsid w:val="5C0F765B"/>
    <w:rsid w:val="5C8955F7"/>
    <w:rsid w:val="5CC46242"/>
    <w:rsid w:val="5CCC0F4C"/>
    <w:rsid w:val="5CE650CB"/>
    <w:rsid w:val="5CF27646"/>
    <w:rsid w:val="5CF958F8"/>
    <w:rsid w:val="5D0D561B"/>
    <w:rsid w:val="5D2B0CCA"/>
    <w:rsid w:val="5D4A76DE"/>
    <w:rsid w:val="5DAA3CE9"/>
    <w:rsid w:val="5DB7476A"/>
    <w:rsid w:val="5DC23951"/>
    <w:rsid w:val="5DC7547E"/>
    <w:rsid w:val="5E231E02"/>
    <w:rsid w:val="5E6707B1"/>
    <w:rsid w:val="5E6D00DE"/>
    <w:rsid w:val="5E7B4236"/>
    <w:rsid w:val="5E8D7735"/>
    <w:rsid w:val="5EC76785"/>
    <w:rsid w:val="5ECA0F90"/>
    <w:rsid w:val="5EF67363"/>
    <w:rsid w:val="5EF850DF"/>
    <w:rsid w:val="5F300903"/>
    <w:rsid w:val="5F435B34"/>
    <w:rsid w:val="5F73680F"/>
    <w:rsid w:val="5F7626E4"/>
    <w:rsid w:val="5F7C5534"/>
    <w:rsid w:val="5FB92848"/>
    <w:rsid w:val="5FC542AF"/>
    <w:rsid w:val="5FC554D4"/>
    <w:rsid w:val="5FCE7B72"/>
    <w:rsid w:val="5FF322EA"/>
    <w:rsid w:val="5FF32D74"/>
    <w:rsid w:val="60351D1F"/>
    <w:rsid w:val="604947DD"/>
    <w:rsid w:val="6051613D"/>
    <w:rsid w:val="60C357DF"/>
    <w:rsid w:val="60D960DD"/>
    <w:rsid w:val="60FC073A"/>
    <w:rsid w:val="61322CD7"/>
    <w:rsid w:val="613B163D"/>
    <w:rsid w:val="613D0E59"/>
    <w:rsid w:val="615B3E25"/>
    <w:rsid w:val="615E6733"/>
    <w:rsid w:val="617D019D"/>
    <w:rsid w:val="61891AF8"/>
    <w:rsid w:val="61A04C60"/>
    <w:rsid w:val="61B87FB8"/>
    <w:rsid w:val="61D7343B"/>
    <w:rsid w:val="61EB3E40"/>
    <w:rsid w:val="620557D2"/>
    <w:rsid w:val="62290B64"/>
    <w:rsid w:val="62360A4B"/>
    <w:rsid w:val="624275C4"/>
    <w:rsid w:val="625A5963"/>
    <w:rsid w:val="62B15D8F"/>
    <w:rsid w:val="62C47A20"/>
    <w:rsid w:val="62F35F9A"/>
    <w:rsid w:val="63011A47"/>
    <w:rsid w:val="6303611C"/>
    <w:rsid w:val="632253DB"/>
    <w:rsid w:val="63345D5F"/>
    <w:rsid w:val="638906B4"/>
    <w:rsid w:val="639E125E"/>
    <w:rsid w:val="63C610A3"/>
    <w:rsid w:val="63D65347"/>
    <w:rsid w:val="642E10AC"/>
    <w:rsid w:val="64454D69"/>
    <w:rsid w:val="648F6AC6"/>
    <w:rsid w:val="64C05EBF"/>
    <w:rsid w:val="64D83534"/>
    <w:rsid w:val="64E73541"/>
    <w:rsid w:val="653048C8"/>
    <w:rsid w:val="6563640C"/>
    <w:rsid w:val="657229C1"/>
    <w:rsid w:val="65742D2E"/>
    <w:rsid w:val="6580316B"/>
    <w:rsid w:val="658C022B"/>
    <w:rsid w:val="65961BC6"/>
    <w:rsid w:val="65CF2079"/>
    <w:rsid w:val="66041F35"/>
    <w:rsid w:val="66110384"/>
    <w:rsid w:val="663076E1"/>
    <w:rsid w:val="6636319D"/>
    <w:rsid w:val="664B7010"/>
    <w:rsid w:val="66545FB5"/>
    <w:rsid w:val="666F72FE"/>
    <w:rsid w:val="66846FBA"/>
    <w:rsid w:val="66C83C9B"/>
    <w:rsid w:val="66FD45E7"/>
    <w:rsid w:val="672222E3"/>
    <w:rsid w:val="675D238F"/>
    <w:rsid w:val="676536B0"/>
    <w:rsid w:val="677527F5"/>
    <w:rsid w:val="67917D7A"/>
    <w:rsid w:val="67B94CD2"/>
    <w:rsid w:val="67CB2334"/>
    <w:rsid w:val="67F400C1"/>
    <w:rsid w:val="67FE10F3"/>
    <w:rsid w:val="68504090"/>
    <w:rsid w:val="68A350D5"/>
    <w:rsid w:val="68EB15CF"/>
    <w:rsid w:val="68EC7609"/>
    <w:rsid w:val="691032A9"/>
    <w:rsid w:val="692A1EFE"/>
    <w:rsid w:val="693978BA"/>
    <w:rsid w:val="693F5E5A"/>
    <w:rsid w:val="69732C1F"/>
    <w:rsid w:val="69822A5F"/>
    <w:rsid w:val="698724D1"/>
    <w:rsid w:val="698D2443"/>
    <w:rsid w:val="69975108"/>
    <w:rsid w:val="69C404DB"/>
    <w:rsid w:val="69F11D17"/>
    <w:rsid w:val="6A325533"/>
    <w:rsid w:val="6A4357E7"/>
    <w:rsid w:val="6A6D6393"/>
    <w:rsid w:val="6A983952"/>
    <w:rsid w:val="6AA238E5"/>
    <w:rsid w:val="6AA95F41"/>
    <w:rsid w:val="6AFA602B"/>
    <w:rsid w:val="6B05496B"/>
    <w:rsid w:val="6B141DC3"/>
    <w:rsid w:val="6B172BBF"/>
    <w:rsid w:val="6B1C3BBC"/>
    <w:rsid w:val="6B2357D5"/>
    <w:rsid w:val="6B574E34"/>
    <w:rsid w:val="6B832DD4"/>
    <w:rsid w:val="6B891231"/>
    <w:rsid w:val="6B96736B"/>
    <w:rsid w:val="6BB1224B"/>
    <w:rsid w:val="6BE05693"/>
    <w:rsid w:val="6C153FFC"/>
    <w:rsid w:val="6C8E2FCA"/>
    <w:rsid w:val="6CA10106"/>
    <w:rsid w:val="6CBC7734"/>
    <w:rsid w:val="6CFD11D7"/>
    <w:rsid w:val="6D126E2A"/>
    <w:rsid w:val="6D4E76A4"/>
    <w:rsid w:val="6D647D37"/>
    <w:rsid w:val="6D8302BD"/>
    <w:rsid w:val="6DE84339"/>
    <w:rsid w:val="6DF00FBC"/>
    <w:rsid w:val="6DF80DED"/>
    <w:rsid w:val="6E6611F9"/>
    <w:rsid w:val="6E785C56"/>
    <w:rsid w:val="6E8F6515"/>
    <w:rsid w:val="6E93321F"/>
    <w:rsid w:val="6EA83401"/>
    <w:rsid w:val="6EC9075C"/>
    <w:rsid w:val="6EE734D3"/>
    <w:rsid w:val="6F1C3E8A"/>
    <w:rsid w:val="6F8C715A"/>
    <w:rsid w:val="6F907792"/>
    <w:rsid w:val="6FA329BA"/>
    <w:rsid w:val="6FA977A8"/>
    <w:rsid w:val="70026FD0"/>
    <w:rsid w:val="701C6A8A"/>
    <w:rsid w:val="702A0FBE"/>
    <w:rsid w:val="709B1848"/>
    <w:rsid w:val="70F211C3"/>
    <w:rsid w:val="71053ACA"/>
    <w:rsid w:val="71231EAD"/>
    <w:rsid w:val="715D57FB"/>
    <w:rsid w:val="71693683"/>
    <w:rsid w:val="71730FAA"/>
    <w:rsid w:val="71DE14F4"/>
    <w:rsid w:val="72024574"/>
    <w:rsid w:val="72195D45"/>
    <w:rsid w:val="72513447"/>
    <w:rsid w:val="72990665"/>
    <w:rsid w:val="72AA6762"/>
    <w:rsid w:val="72AC4568"/>
    <w:rsid w:val="72C15508"/>
    <w:rsid w:val="72E9619C"/>
    <w:rsid w:val="72F808C9"/>
    <w:rsid w:val="730347ED"/>
    <w:rsid w:val="73061860"/>
    <w:rsid w:val="73072317"/>
    <w:rsid w:val="7313658D"/>
    <w:rsid w:val="73184276"/>
    <w:rsid w:val="732A2130"/>
    <w:rsid w:val="73314EEE"/>
    <w:rsid w:val="737B6F94"/>
    <w:rsid w:val="73AF066E"/>
    <w:rsid w:val="73D10A97"/>
    <w:rsid w:val="73F24854"/>
    <w:rsid w:val="74044D2B"/>
    <w:rsid w:val="74205196"/>
    <w:rsid w:val="742C07A2"/>
    <w:rsid w:val="743E3E18"/>
    <w:rsid w:val="745049CA"/>
    <w:rsid w:val="74807EFD"/>
    <w:rsid w:val="749734EB"/>
    <w:rsid w:val="74A70A93"/>
    <w:rsid w:val="74F31E3C"/>
    <w:rsid w:val="75366B84"/>
    <w:rsid w:val="75417E89"/>
    <w:rsid w:val="75B071B8"/>
    <w:rsid w:val="76576FE6"/>
    <w:rsid w:val="76752EA4"/>
    <w:rsid w:val="76986E35"/>
    <w:rsid w:val="769E3FC0"/>
    <w:rsid w:val="76C50BCD"/>
    <w:rsid w:val="77012356"/>
    <w:rsid w:val="77053EAD"/>
    <w:rsid w:val="770F2A36"/>
    <w:rsid w:val="77314D9C"/>
    <w:rsid w:val="773372B0"/>
    <w:rsid w:val="77D83516"/>
    <w:rsid w:val="77DB037A"/>
    <w:rsid w:val="77EE6533"/>
    <w:rsid w:val="780F010E"/>
    <w:rsid w:val="78181599"/>
    <w:rsid w:val="783E0954"/>
    <w:rsid w:val="78681E47"/>
    <w:rsid w:val="78715C82"/>
    <w:rsid w:val="787C59A6"/>
    <w:rsid w:val="787D48F9"/>
    <w:rsid w:val="789825FD"/>
    <w:rsid w:val="78AD3C81"/>
    <w:rsid w:val="78DA2333"/>
    <w:rsid w:val="78DF02C5"/>
    <w:rsid w:val="790D7A55"/>
    <w:rsid w:val="792E0707"/>
    <w:rsid w:val="79376001"/>
    <w:rsid w:val="79594EE1"/>
    <w:rsid w:val="79DB5100"/>
    <w:rsid w:val="7A944EA0"/>
    <w:rsid w:val="7AA2071F"/>
    <w:rsid w:val="7AE30B9C"/>
    <w:rsid w:val="7AFB385E"/>
    <w:rsid w:val="7B126D2A"/>
    <w:rsid w:val="7B161890"/>
    <w:rsid w:val="7B171DA1"/>
    <w:rsid w:val="7B2B0E4E"/>
    <w:rsid w:val="7B392892"/>
    <w:rsid w:val="7B915F36"/>
    <w:rsid w:val="7BFE4222"/>
    <w:rsid w:val="7C6A3418"/>
    <w:rsid w:val="7C7D27DF"/>
    <w:rsid w:val="7CA53F52"/>
    <w:rsid w:val="7CBB1893"/>
    <w:rsid w:val="7CC42531"/>
    <w:rsid w:val="7CD82FF9"/>
    <w:rsid w:val="7D0254C0"/>
    <w:rsid w:val="7D1803B0"/>
    <w:rsid w:val="7D2C7570"/>
    <w:rsid w:val="7D6B30E0"/>
    <w:rsid w:val="7D794478"/>
    <w:rsid w:val="7D995482"/>
    <w:rsid w:val="7DDB139B"/>
    <w:rsid w:val="7E2C4A98"/>
    <w:rsid w:val="7E4C0E59"/>
    <w:rsid w:val="7E6B2D5C"/>
    <w:rsid w:val="7E732639"/>
    <w:rsid w:val="7E9E7BC8"/>
    <w:rsid w:val="7EDF312F"/>
    <w:rsid w:val="7EE85B9C"/>
    <w:rsid w:val="7F1932C6"/>
    <w:rsid w:val="7F472572"/>
    <w:rsid w:val="7F57116C"/>
    <w:rsid w:val="7FE328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ind w:firstLine="200" w:firstLineChars="200"/>
      <w:jc w:val="both"/>
    </w:pPr>
    <w:rPr>
      <w:rFonts w:ascii="Times New Roman" w:hAnsi="Times New Roman" w:eastAsia="仿宋_GB2312" w:cs="黑体"/>
      <w:kern w:val="2"/>
      <w:sz w:val="32"/>
      <w:szCs w:val="22"/>
      <w:lang w:val="en-US" w:eastAsia="zh-CN" w:bidi="ar-SA"/>
    </w:rPr>
  </w:style>
  <w:style w:type="character" w:default="1" w:styleId="10">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2">
    <w:name w:val="toc 3"/>
    <w:basedOn w:val="1"/>
    <w:next w:val="1"/>
    <w:qFormat/>
    <w:uiPriority w:val="0"/>
    <w:pPr>
      <w:ind w:left="840" w:leftChars="400"/>
    </w:pPr>
  </w:style>
  <w:style w:type="paragraph" w:styleId="3">
    <w:name w:val="Balloon Text"/>
    <w:basedOn w:val="1"/>
    <w:link w:val="11"/>
    <w:qFormat/>
    <w:uiPriority w:val="0"/>
    <w:pPr>
      <w:spacing w:line="240" w:lineRule="auto"/>
    </w:pPr>
    <w:rPr>
      <w:sz w:val="18"/>
      <w:szCs w:val="18"/>
    </w:rPr>
  </w:style>
  <w:style w:type="paragraph" w:styleId="4">
    <w:name w:val="footer"/>
    <w:basedOn w:val="1"/>
    <w:unhideWhenUsed/>
    <w:qFormat/>
    <w:uiPriority w:val="99"/>
    <w:pPr>
      <w:tabs>
        <w:tab w:val="center" w:pos="4153"/>
        <w:tab w:val="right" w:pos="8306"/>
      </w:tabs>
      <w:snapToGrid w:val="0"/>
      <w:jc w:val="left"/>
    </w:pPr>
    <w:rPr>
      <w:sz w:val="18"/>
      <w:szCs w:val="18"/>
    </w:rPr>
  </w:style>
  <w:style w:type="paragraph" w:styleId="5">
    <w:name w:val="header"/>
    <w:unhideWhenUsed/>
    <w:qFormat/>
    <w:uiPriority w:val="99"/>
    <w:pPr>
      <w:widowControl w:val="0"/>
      <w:pBdr>
        <w:bottom w:val="single" w:color="auto" w:sz="6" w:space="1"/>
      </w:pBdr>
      <w:tabs>
        <w:tab w:val="center" w:pos="4153"/>
        <w:tab w:val="right" w:pos="8306"/>
      </w:tabs>
      <w:snapToGrid w:val="0"/>
      <w:spacing w:line="560" w:lineRule="exact"/>
      <w:ind w:firstLine="200" w:firstLineChars="200"/>
      <w:jc w:val="center"/>
    </w:pPr>
    <w:rPr>
      <w:rFonts w:ascii="Times New Roman" w:hAnsi="Times New Roman" w:eastAsia="仿宋_GB2312" w:cs="黑体"/>
      <w:kern w:val="2"/>
      <w:sz w:val="18"/>
      <w:szCs w:val="18"/>
      <w:lang w:val="en-US" w:eastAsia="zh-CN" w:bidi="ar-SA"/>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table" w:styleId="9">
    <w:name w:val="Table Grid"/>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style>
  <w:style w:type="character" w:customStyle="1" w:styleId="11">
    <w:name w:val="批注框文本 Char"/>
    <w:basedOn w:val="10"/>
    <w:link w:val="3"/>
    <w:qFormat/>
    <w:uiPriority w:val="0"/>
    <w:rPr>
      <w:rFonts w:ascii="Times New Roman" w:hAnsi="Times New Roman" w:eastAsia="仿宋_GB2312" w:cs="黑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4.png"/><Relationship Id="rId25" Type="http://schemas.openxmlformats.org/officeDocument/2006/relationships/image" Target="media/image13.jpe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21</Pages>
  <Words>5077</Words>
  <Characters>5331</Characters>
  <Lines>52</Lines>
  <Paragraphs>14</Paragraphs>
  <TotalTime>284</TotalTime>
  <ScaleCrop>false</ScaleCrop>
  <LinksUpToDate>false</LinksUpToDate>
  <CharactersWithSpaces>5412</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2024-09-13T06:53:00Z</dcterms:created>
  <dc:creator>爱你绝恋</dc:creator>
  <cp:lastModifiedBy>海山</cp:lastModifiedBy>
  <dcterms:modified xsi:type="dcterms:W3CDTF">2025-03-24T02:38:31Z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68340746A5244F0CB57DA47FC3F9A6BF_13</vt:lpwstr>
  </property>
  <property fmtid="{D5CDD505-2E9C-101B-9397-08002B2CF9AE}" pid="4" name="KSOTemplateDocerSaveRecord">
    <vt:lpwstr>eyJoZGlkIjoiYjliOGZiMDEwNWY2ZjIwMTEwZjllMDY1MmVlM2YzYWQiLCJ1c2VySWQiOiI1MDM3MTMyMjcifQ==</vt:lpwstr>
  </property>
</Properties>
</file>