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2B273">
      <w:pPr>
        <w:spacing w:before="312" w:beforeLines="100" w:after="312" w:afterLines="100"/>
        <w:jc w:val="center"/>
        <w:rPr>
          <w:rFonts w:ascii="仿宋" w:hAnsi="仿宋" w:eastAsia="仿宋" w:cs="仿宋"/>
          <w:b/>
          <w:bCs/>
          <w:sz w:val="44"/>
          <w:szCs w:val="44"/>
        </w:rPr>
      </w:pPr>
      <w:r>
        <w:rPr>
          <w:rFonts w:hint="eastAsia" w:ascii="仿宋" w:hAnsi="仿宋" w:eastAsia="仿宋" w:cs="仿宋"/>
          <w:b/>
          <w:bCs/>
          <w:sz w:val="44"/>
          <w:szCs w:val="44"/>
        </w:rPr>
        <w:t>《海岸带低空观光旅游服务质量规范》</w:t>
      </w:r>
    </w:p>
    <w:p w14:paraId="2BDE403E">
      <w:pPr>
        <w:spacing w:before="156" w:beforeLines="50" w:after="156" w:afterLines="50"/>
        <w:jc w:val="center"/>
        <w:rPr>
          <w:rFonts w:ascii="仿宋" w:hAnsi="仿宋" w:eastAsia="仿宋" w:cs="仿宋"/>
          <w:b/>
          <w:bCs/>
          <w:sz w:val="44"/>
          <w:szCs w:val="44"/>
        </w:rPr>
      </w:pPr>
      <w:r>
        <w:rPr>
          <w:rFonts w:hint="eastAsia" w:ascii="仿宋" w:hAnsi="仿宋" w:eastAsia="仿宋" w:cs="仿宋"/>
          <w:b/>
          <w:bCs/>
          <w:sz w:val="44"/>
          <w:szCs w:val="44"/>
        </w:rPr>
        <w:t>编 制 说 明</w:t>
      </w:r>
    </w:p>
    <w:p w14:paraId="0268CB89">
      <w:pPr>
        <w:ind w:firstLine="627" w:firstLineChars="196"/>
        <w:rPr>
          <w:rFonts w:eastAsia="黑体"/>
          <w:sz w:val="32"/>
          <w:szCs w:val="32"/>
        </w:rPr>
      </w:pPr>
      <w:r>
        <w:rPr>
          <w:rFonts w:eastAsia="黑体"/>
          <w:sz w:val="32"/>
          <w:szCs w:val="32"/>
        </w:rPr>
        <w:t>一、工作简介</w:t>
      </w:r>
    </w:p>
    <w:p w14:paraId="5F114B3C">
      <w:pPr>
        <w:ind w:firstLine="630" w:firstLineChars="196"/>
        <w:rPr>
          <w:rFonts w:eastAsia="楷体"/>
          <w:b/>
          <w:sz w:val="32"/>
          <w:szCs w:val="32"/>
        </w:rPr>
      </w:pPr>
      <w:r>
        <w:rPr>
          <w:rFonts w:eastAsia="楷体"/>
          <w:b/>
          <w:color w:val="000000"/>
          <w:sz w:val="32"/>
          <w:szCs w:val="32"/>
        </w:rPr>
        <w:t>（一）任务来源</w:t>
      </w:r>
    </w:p>
    <w:p w14:paraId="3EE86325">
      <w:pPr>
        <w:spacing w:line="560" w:lineRule="exact"/>
        <w:ind w:firstLine="640" w:firstLineChars="200"/>
        <w:rPr>
          <w:rFonts w:eastAsia="仿宋_GB2312"/>
          <w:sz w:val="32"/>
          <w:szCs w:val="22"/>
        </w:rPr>
      </w:pPr>
      <w:r>
        <w:rPr>
          <w:rFonts w:hint="eastAsia" w:eastAsia="仿宋_GB2312"/>
          <w:sz w:val="32"/>
          <w:szCs w:val="22"/>
        </w:rPr>
        <w:t xml:space="preserve"> 本标准根据大连市标准化协会《关于〈海岸带低空观光旅游服务质量规范〉等4项团体标准立项的通知要求</w:t>
      </w:r>
      <w:r>
        <w:rPr>
          <w:rFonts w:hint="eastAsia" w:eastAsia="仿宋_GB2312"/>
          <w:sz w:val="32"/>
          <w:szCs w:val="22"/>
          <w:lang w:eastAsia="zh-CN"/>
        </w:rPr>
        <w:t>》</w:t>
      </w:r>
      <w:bookmarkStart w:id="0" w:name="_GoBack"/>
      <w:bookmarkEnd w:id="0"/>
      <w:r>
        <w:rPr>
          <w:rFonts w:hint="eastAsia" w:eastAsia="仿宋_GB2312"/>
          <w:sz w:val="32"/>
          <w:szCs w:val="22"/>
        </w:rPr>
        <w:t>编制。</w:t>
      </w:r>
      <w:r>
        <w:rPr>
          <w:rFonts w:eastAsia="仿宋_GB2312"/>
          <w:sz w:val="32"/>
          <w:szCs w:val="22"/>
        </w:rPr>
        <w:t>本标准由大连标准认证研究院有限公司提出，由</w:t>
      </w:r>
      <w:r>
        <w:rPr>
          <w:rFonts w:hint="eastAsia" w:eastAsia="仿宋_GB2312"/>
          <w:sz w:val="32"/>
          <w:szCs w:val="22"/>
        </w:rPr>
        <w:t>大连市标准化协会</w:t>
      </w:r>
      <w:r>
        <w:rPr>
          <w:rFonts w:hint="eastAsia" w:eastAsia="仿宋_GB2312"/>
          <w:sz w:val="32"/>
          <w:szCs w:val="22"/>
          <w:lang w:val="en-US" w:eastAsia="zh-CN"/>
        </w:rPr>
        <w:t>和</w:t>
      </w:r>
      <w:r>
        <w:rPr>
          <w:rFonts w:eastAsia="仿宋_GB2312"/>
          <w:sz w:val="32"/>
          <w:szCs w:val="22"/>
        </w:rPr>
        <w:t>大连市低空经济产业协会归口。</w:t>
      </w:r>
    </w:p>
    <w:p w14:paraId="22DCE523">
      <w:pPr>
        <w:ind w:firstLine="630" w:firstLineChars="196"/>
        <w:rPr>
          <w:rFonts w:eastAsia="楷体"/>
          <w:b/>
          <w:color w:val="000000"/>
          <w:sz w:val="32"/>
          <w:szCs w:val="32"/>
        </w:rPr>
      </w:pPr>
      <w:r>
        <w:rPr>
          <w:rFonts w:eastAsia="楷体"/>
          <w:b/>
          <w:color w:val="000000"/>
          <w:sz w:val="32"/>
          <w:szCs w:val="32"/>
        </w:rPr>
        <w:t>（二） 制定标准的必要性和意义</w:t>
      </w:r>
    </w:p>
    <w:p w14:paraId="66CA9923">
      <w:pPr>
        <w:spacing w:line="560" w:lineRule="exact"/>
        <w:ind w:firstLine="640" w:firstLineChars="200"/>
        <w:rPr>
          <w:rFonts w:eastAsia="仿宋_GB2312"/>
          <w:sz w:val="32"/>
          <w:szCs w:val="22"/>
        </w:rPr>
      </w:pPr>
      <w:r>
        <w:rPr>
          <w:rFonts w:hint="eastAsia" w:eastAsia="仿宋_GB2312"/>
          <w:sz w:val="32"/>
          <w:szCs w:val="22"/>
        </w:rPr>
        <w:t>1. 推动低空经济与文旅产业融合发展</w:t>
      </w:r>
    </w:p>
    <w:p w14:paraId="116859F3">
      <w:pPr>
        <w:spacing w:line="560" w:lineRule="exact"/>
        <w:ind w:firstLine="640" w:firstLineChars="200"/>
        <w:rPr>
          <w:rFonts w:eastAsia="仿宋_GB2312"/>
          <w:sz w:val="32"/>
          <w:szCs w:val="22"/>
        </w:rPr>
      </w:pPr>
      <w:r>
        <w:rPr>
          <w:rFonts w:hint="eastAsia" w:eastAsia="仿宋_GB2312"/>
          <w:sz w:val="32"/>
          <w:szCs w:val="22"/>
        </w:rPr>
        <w:t>近年来，国家大力推动低空经济发展，将其列为战略性新兴产业。大连作为滨海旅游城市，拥有丰富的海岸带资源（大陆海滨、近岸水域、海岛等），具备发展低空观光旅游的天然优势。但目前海岸带低空观光旅游缺乏统一的服务质量标准，导致服务质量参差不齐，安全隐患存在，亟需通过标准化手段规范市场秩序。</w:t>
      </w:r>
    </w:p>
    <w:p w14:paraId="60C1757E">
      <w:pPr>
        <w:spacing w:line="560" w:lineRule="exact"/>
        <w:ind w:firstLine="640" w:firstLineChars="200"/>
        <w:rPr>
          <w:rFonts w:eastAsia="仿宋_GB2312"/>
          <w:sz w:val="32"/>
          <w:szCs w:val="22"/>
        </w:rPr>
      </w:pPr>
      <w:r>
        <w:rPr>
          <w:rFonts w:hint="eastAsia" w:eastAsia="仿宋_GB2312"/>
          <w:sz w:val="32"/>
          <w:szCs w:val="22"/>
        </w:rPr>
        <w:t>2. 填补海岸带低空观光旅游服务标准空白</w:t>
      </w:r>
    </w:p>
    <w:p w14:paraId="43DB0BE0">
      <w:pPr>
        <w:spacing w:line="560" w:lineRule="exact"/>
        <w:ind w:firstLine="640" w:firstLineChars="200"/>
        <w:rPr>
          <w:rFonts w:eastAsia="仿宋_GB2312"/>
          <w:sz w:val="32"/>
          <w:szCs w:val="22"/>
        </w:rPr>
      </w:pPr>
      <w:r>
        <w:rPr>
          <w:rFonts w:hint="eastAsia" w:eastAsia="仿宋_GB2312"/>
          <w:sz w:val="32"/>
          <w:szCs w:val="22"/>
        </w:rPr>
        <w:t>经检索，国内尚无专门针对海岸带低空观光旅游的服务质量规范。现有通用航空相关标准（如《通用航空经营许可管理规定》《空中游览》咨询通告等）侧重于飞行安全和运行管理，对旅游服务体验、地面配套、滨海特殊环境适应性、游客权益保护等内容规定不足。本标准结合海岸带地理、气候、生态特点，系统提出服务要求，填补了该领域标准空白。</w:t>
      </w:r>
    </w:p>
    <w:p w14:paraId="1405399A">
      <w:pPr>
        <w:spacing w:line="560" w:lineRule="exact"/>
        <w:ind w:firstLine="640" w:firstLineChars="200"/>
        <w:rPr>
          <w:rFonts w:eastAsia="仿宋_GB2312"/>
          <w:sz w:val="32"/>
          <w:szCs w:val="22"/>
        </w:rPr>
      </w:pPr>
      <w:r>
        <w:rPr>
          <w:rFonts w:hint="eastAsia" w:eastAsia="仿宋_GB2312"/>
          <w:sz w:val="32"/>
          <w:szCs w:val="22"/>
        </w:rPr>
        <w:t>3. 提升游客体验与安全保障水平</w:t>
      </w:r>
    </w:p>
    <w:p w14:paraId="7667B375">
      <w:pPr>
        <w:spacing w:line="560" w:lineRule="exact"/>
        <w:ind w:firstLine="640" w:firstLineChars="200"/>
        <w:rPr>
          <w:rFonts w:eastAsia="仿宋_GB2312"/>
          <w:sz w:val="32"/>
          <w:szCs w:val="22"/>
        </w:rPr>
      </w:pPr>
      <w:r>
        <w:rPr>
          <w:rFonts w:hint="eastAsia" w:eastAsia="仿宋_GB2312"/>
          <w:sz w:val="32"/>
          <w:szCs w:val="22"/>
        </w:rPr>
        <w:t>通过明确服务提供者资质、设施设备、人员能力、服务流程、安全应急、质量评价等全链条要求，推动行业从“能飞”向“飞得好、服务优、体验佳”转变，切实保障游客人身安全和合法权益，促进产业健康可持续发展。</w:t>
      </w:r>
    </w:p>
    <w:p w14:paraId="276C6C08">
      <w:pPr>
        <w:ind w:firstLine="630" w:firstLineChars="196"/>
        <w:rPr>
          <w:rFonts w:eastAsia="楷体"/>
          <w:b/>
          <w:color w:val="000000"/>
          <w:sz w:val="32"/>
          <w:szCs w:val="32"/>
        </w:rPr>
      </w:pPr>
      <w:r>
        <w:rPr>
          <w:rFonts w:eastAsia="楷体"/>
          <w:b/>
          <w:color w:val="000000"/>
          <w:sz w:val="32"/>
          <w:szCs w:val="32"/>
        </w:rPr>
        <w:t>（三）起草单位</w:t>
      </w:r>
    </w:p>
    <w:p w14:paraId="340DC444">
      <w:pPr>
        <w:spacing w:line="560" w:lineRule="exact"/>
        <w:ind w:firstLine="640" w:firstLineChars="200"/>
        <w:rPr>
          <w:rFonts w:eastAsia="仿宋_GB2312"/>
          <w:sz w:val="32"/>
          <w:szCs w:val="22"/>
        </w:rPr>
      </w:pPr>
      <w:r>
        <w:rPr>
          <w:rFonts w:eastAsia="仿宋_GB2312"/>
          <w:sz w:val="32"/>
          <w:szCs w:val="22"/>
        </w:rPr>
        <w:t>大连标准认证研究院有限公司、大连市低空经济产业协会、大连欧亚直升机有限公司。</w:t>
      </w:r>
    </w:p>
    <w:p w14:paraId="147AA426">
      <w:pPr>
        <w:ind w:firstLine="630" w:firstLineChars="196"/>
        <w:rPr>
          <w:rFonts w:eastAsia="楷体"/>
          <w:b/>
          <w:color w:val="000000"/>
          <w:sz w:val="32"/>
          <w:szCs w:val="32"/>
        </w:rPr>
      </w:pPr>
      <w:r>
        <w:rPr>
          <w:rFonts w:eastAsia="楷体"/>
          <w:b/>
          <w:color w:val="000000"/>
          <w:sz w:val="32"/>
          <w:szCs w:val="32"/>
        </w:rPr>
        <w:t>（四）主要起草人及分工</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851"/>
        <w:gridCol w:w="3260"/>
        <w:gridCol w:w="1714"/>
        <w:gridCol w:w="1646"/>
      </w:tblGrid>
      <w:tr w14:paraId="7729A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5" w:type="dxa"/>
            <w:vAlign w:val="center"/>
          </w:tcPr>
          <w:p w14:paraId="4F6EA714">
            <w:pPr>
              <w:spacing w:line="580" w:lineRule="exact"/>
              <w:jc w:val="center"/>
              <w:rPr>
                <w:rFonts w:ascii="Calibri" w:hAnsi="Calibri" w:cs="Calibri" w:eastAsiaTheme="minorEastAsia"/>
                <w:sz w:val="18"/>
                <w:szCs w:val="18"/>
              </w:rPr>
            </w:pPr>
            <w:r>
              <w:rPr>
                <w:rFonts w:ascii="Calibri" w:hAnsi="Calibri" w:cs="Calibri" w:eastAsiaTheme="minorEastAsia"/>
                <w:sz w:val="18"/>
                <w:szCs w:val="18"/>
              </w:rPr>
              <w:t>序号</w:t>
            </w:r>
          </w:p>
        </w:tc>
        <w:tc>
          <w:tcPr>
            <w:tcW w:w="851" w:type="dxa"/>
            <w:vAlign w:val="center"/>
          </w:tcPr>
          <w:p w14:paraId="79855444">
            <w:pPr>
              <w:spacing w:line="580" w:lineRule="exact"/>
              <w:jc w:val="center"/>
              <w:rPr>
                <w:rFonts w:ascii="Calibri" w:hAnsi="Calibri" w:cs="Calibri" w:eastAsiaTheme="minorEastAsia"/>
                <w:sz w:val="18"/>
                <w:szCs w:val="18"/>
              </w:rPr>
            </w:pPr>
            <w:r>
              <w:rPr>
                <w:rFonts w:ascii="Calibri" w:hAnsi="Calibri" w:cs="Calibri" w:eastAsiaTheme="minorEastAsia"/>
                <w:sz w:val="18"/>
                <w:szCs w:val="18"/>
              </w:rPr>
              <w:t>姓名</w:t>
            </w:r>
          </w:p>
        </w:tc>
        <w:tc>
          <w:tcPr>
            <w:tcW w:w="3260" w:type="dxa"/>
            <w:vAlign w:val="center"/>
          </w:tcPr>
          <w:p w14:paraId="133F46B6">
            <w:pPr>
              <w:spacing w:line="580" w:lineRule="exact"/>
              <w:jc w:val="center"/>
              <w:rPr>
                <w:rFonts w:ascii="Calibri" w:hAnsi="Calibri" w:cs="Calibri" w:eastAsiaTheme="minorEastAsia"/>
                <w:sz w:val="18"/>
                <w:szCs w:val="18"/>
              </w:rPr>
            </w:pPr>
            <w:r>
              <w:rPr>
                <w:rFonts w:ascii="Calibri" w:hAnsi="Calibri" w:cs="Calibri" w:eastAsiaTheme="minorEastAsia"/>
                <w:sz w:val="18"/>
                <w:szCs w:val="18"/>
              </w:rPr>
              <w:t>工作单位</w:t>
            </w:r>
          </w:p>
        </w:tc>
        <w:tc>
          <w:tcPr>
            <w:tcW w:w="1714" w:type="dxa"/>
            <w:vAlign w:val="center"/>
          </w:tcPr>
          <w:p w14:paraId="74B44D29">
            <w:pPr>
              <w:spacing w:line="580" w:lineRule="exact"/>
              <w:jc w:val="center"/>
              <w:rPr>
                <w:rFonts w:ascii="Calibri" w:hAnsi="Calibri" w:cs="Calibri" w:eastAsiaTheme="minorEastAsia"/>
                <w:sz w:val="18"/>
                <w:szCs w:val="18"/>
              </w:rPr>
            </w:pPr>
            <w:r>
              <w:rPr>
                <w:rFonts w:ascii="Calibri" w:hAnsi="Calibri" w:cs="Calibri" w:eastAsiaTheme="minorEastAsia"/>
                <w:sz w:val="18"/>
                <w:szCs w:val="18"/>
              </w:rPr>
              <w:t>职务/职称</w:t>
            </w:r>
          </w:p>
        </w:tc>
        <w:tc>
          <w:tcPr>
            <w:tcW w:w="1646" w:type="dxa"/>
            <w:vAlign w:val="center"/>
          </w:tcPr>
          <w:p w14:paraId="38BA697C">
            <w:pPr>
              <w:spacing w:line="580" w:lineRule="exact"/>
              <w:jc w:val="center"/>
              <w:rPr>
                <w:rFonts w:ascii="Calibri" w:hAnsi="Calibri" w:cs="Calibri" w:eastAsiaTheme="minorEastAsia"/>
                <w:sz w:val="18"/>
                <w:szCs w:val="18"/>
              </w:rPr>
            </w:pPr>
            <w:r>
              <w:rPr>
                <w:rFonts w:ascii="Calibri" w:hAnsi="Calibri" w:cs="Calibri" w:eastAsiaTheme="minorEastAsia"/>
                <w:sz w:val="18"/>
                <w:szCs w:val="18"/>
              </w:rPr>
              <w:t>任务分工</w:t>
            </w:r>
          </w:p>
        </w:tc>
      </w:tr>
      <w:tr w14:paraId="60B2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675" w:type="dxa"/>
            <w:vAlign w:val="center"/>
          </w:tcPr>
          <w:p w14:paraId="78F30769">
            <w:pPr>
              <w:spacing w:line="580" w:lineRule="exact"/>
              <w:jc w:val="center"/>
              <w:rPr>
                <w:rFonts w:ascii="Calibri" w:hAnsi="Calibri" w:cs="Calibri" w:eastAsiaTheme="minorEastAsia"/>
                <w:sz w:val="18"/>
                <w:szCs w:val="18"/>
              </w:rPr>
            </w:pPr>
            <w:r>
              <w:rPr>
                <w:rFonts w:ascii="Calibri" w:hAnsi="Calibri" w:cs="Calibri" w:eastAsiaTheme="minorEastAsia"/>
                <w:sz w:val="18"/>
                <w:szCs w:val="18"/>
              </w:rPr>
              <w:t>1</w:t>
            </w:r>
          </w:p>
        </w:tc>
        <w:tc>
          <w:tcPr>
            <w:tcW w:w="851" w:type="dxa"/>
            <w:shd w:val="clear" w:color="auto" w:fill="auto"/>
            <w:vAlign w:val="center"/>
          </w:tcPr>
          <w:p w14:paraId="5FA24A6C">
            <w:pPr>
              <w:jc w:val="center"/>
              <w:rPr>
                <w:rFonts w:ascii="Calibri" w:hAnsi="Calibri" w:cs="Calibri"/>
              </w:rPr>
            </w:pPr>
            <w:r>
              <w:rPr>
                <w:rFonts w:ascii="Calibri" w:hAnsi="Calibri" w:cs="Calibri"/>
              </w:rPr>
              <w:t>徐慧</w:t>
            </w:r>
          </w:p>
        </w:tc>
        <w:tc>
          <w:tcPr>
            <w:tcW w:w="3260" w:type="dxa"/>
            <w:vAlign w:val="center"/>
          </w:tcPr>
          <w:p w14:paraId="26825F3B">
            <w:pPr>
              <w:jc w:val="center"/>
              <w:rPr>
                <w:rFonts w:ascii="Calibri" w:hAnsi="Calibri" w:cs="Calibri"/>
              </w:rPr>
            </w:pPr>
            <w:r>
              <w:rPr>
                <w:rFonts w:hint="eastAsia" w:ascii="Calibri" w:hAnsi="Calibri" w:cs="Calibri"/>
              </w:rPr>
              <w:t>大连标准认证研究院有限公司</w:t>
            </w:r>
          </w:p>
        </w:tc>
        <w:tc>
          <w:tcPr>
            <w:tcW w:w="1714" w:type="dxa"/>
            <w:vAlign w:val="center"/>
          </w:tcPr>
          <w:p w14:paraId="06498858">
            <w:pPr>
              <w:jc w:val="center"/>
              <w:rPr>
                <w:rFonts w:ascii="Calibri" w:hAnsi="Calibri" w:cs="Calibri"/>
              </w:rPr>
            </w:pPr>
            <w:r>
              <w:rPr>
                <w:rFonts w:ascii="Calibri" w:hAnsi="Calibri" w:cs="Calibri"/>
              </w:rPr>
              <w:t>工程师</w:t>
            </w:r>
          </w:p>
        </w:tc>
        <w:tc>
          <w:tcPr>
            <w:tcW w:w="1646" w:type="dxa"/>
            <w:vAlign w:val="center"/>
          </w:tcPr>
          <w:p w14:paraId="3049C2FB">
            <w:pPr>
              <w:jc w:val="center"/>
              <w:rPr>
                <w:rFonts w:ascii="Calibri" w:hAnsi="Calibri" w:cs="Calibri"/>
              </w:rPr>
            </w:pPr>
            <w:r>
              <w:rPr>
                <w:rFonts w:hint="eastAsia" w:ascii="Calibri" w:hAnsi="Calibri" w:cs="Calibri"/>
              </w:rPr>
              <w:t>标准起草工作</w:t>
            </w:r>
          </w:p>
        </w:tc>
      </w:tr>
      <w:tr w14:paraId="28A76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75" w:type="dxa"/>
            <w:vAlign w:val="center"/>
          </w:tcPr>
          <w:p w14:paraId="51BB9F7A">
            <w:pPr>
              <w:spacing w:line="580" w:lineRule="exact"/>
              <w:jc w:val="center"/>
              <w:rPr>
                <w:rFonts w:ascii="Calibri" w:hAnsi="Calibri" w:cs="Calibri" w:eastAsiaTheme="minorEastAsia"/>
                <w:sz w:val="18"/>
                <w:szCs w:val="18"/>
              </w:rPr>
            </w:pPr>
            <w:r>
              <w:rPr>
                <w:rFonts w:ascii="Calibri" w:hAnsi="Calibri" w:cs="Calibri" w:eastAsiaTheme="minorEastAsia"/>
                <w:sz w:val="18"/>
                <w:szCs w:val="18"/>
              </w:rPr>
              <w:t>2</w:t>
            </w:r>
          </w:p>
        </w:tc>
        <w:tc>
          <w:tcPr>
            <w:tcW w:w="851" w:type="dxa"/>
            <w:shd w:val="clear" w:color="auto" w:fill="auto"/>
            <w:vAlign w:val="center"/>
          </w:tcPr>
          <w:p w14:paraId="799E7B2B">
            <w:pPr>
              <w:jc w:val="center"/>
              <w:rPr>
                <w:rFonts w:ascii="Calibri" w:hAnsi="Calibri" w:cs="Calibri"/>
              </w:rPr>
            </w:pPr>
            <w:r>
              <w:rPr>
                <w:rFonts w:ascii="Calibri" w:hAnsi="Calibri" w:cs="Calibri"/>
              </w:rPr>
              <w:t>袁照路</w:t>
            </w:r>
          </w:p>
        </w:tc>
        <w:tc>
          <w:tcPr>
            <w:tcW w:w="3260" w:type="dxa"/>
            <w:vAlign w:val="center"/>
          </w:tcPr>
          <w:p w14:paraId="061A7100">
            <w:pPr>
              <w:jc w:val="center"/>
              <w:rPr>
                <w:rFonts w:ascii="Calibri" w:hAnsi="Calibri" w:cs="Calibri"/>
              </w:rPr>
            </w:pPr>
            <w:r>
              <w:rPr>
                <w:rFonts w:hint="eastAsia" w:ascii="Calibri" w:hAnsi="Calibri" w:cs="Calibri"/>
              </w:rPr>
              <w:t>大连标准认证研究院有限公司</w:t>
            </w:r>
          </w:p>
        </w:tc>
        <w:tc>
          <w:tcPr>
            <w:tcW w:w="1714" w:type="dxa"/>
            <w:vAlign w:val="center"/>
          </w:tcPr>
          <w:p w14:paraId="2FB1A549">
            <w:pPr>
              <w:jc w:val="center"/>
              <w:rPr>
                <w:rFonts w:ascii="Calibri" w:hAnsi="Calibri" w:cs="Calibri"/>
              </w:rPr>
            </w:pPr>
            <w:r>
              <w:rPr>
                <w:rFonts w:hint="eastAsia" w:ascii="Calibri" w:hAnsi="Calibri" w:cs="Calibri"/>
              </w:rPr>
              <w:t>主任/高级工程师</w:t>
            </w:r>
          </w:p>
        </w:tc>
        <w:tc>
          <w:tcPr>
            <w:tcW w:w="1646" w:type="dxa"/>
            <w:vAlign w:val="center"/>
          </w:tcPr>
          <w:p w14:paraId="2B30AD79">
            <w:pPr>
              <w:jc w:val="center"/>
              <w:rPr>
                <w:rFonts w:ascii="Calibri" w:hAnsi="Calibri" w:cs="Calibri"/>
              </w:rPr>
            </w:pPr>
            <w:r>
              <w:rPr>
                <w:rFonts w:hint="eastAsia" w:ascii="Calibri" w:hAnsi="Calibri" w:cs="Calibri"/>
              </w:rPr>
              <w:t>统筹协调，标准起草工作</w:t>
            </w:r>
          </w:p>
        </w:tc>
      </w:tr>
      <w:tr w14:paraId="0595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75" w:type="dxa"/>
            <w:vAlign w:val="center"/>
          </w:tcPr>
          <w:p w14:paraId="4F9FC777">
            <w:pPr>
              <w:spacing w:line="580" w:lineRule="exact"/>
              <w:jc w:val="center"/>
              <w:rPr>
                <w:rFonts w:ascii="Calibri" w:hAnsi="Calibri" w:cs="Calibri" w:eastAsiaTheme="minorEastAsia"/>
                <w:sz w:val="18"/>
                <w:szCs w:val="18"/>
              </w:rPr>
            </w:pPr>
            <w:r>
              <w:rPr>
                <w:rFonts w:ascii="Calibri" w:hAnsi="Calibri" w:cs="Calibri" w:eastAsiaTheme="minorEastAsia"/>
                <w:sz w:val="18"/>
                <w:szCs w:val="18"/>
              </w:rPr>
              <w:t>3</w:t>
            </w:r>
          </w:p>
        </w:tc>
        <w:tc>
          <w:tcPr>
            <w:tcW w:w="851" w:type="dxa"/>
            <w:shd w:val="clear" w:color="auto" w:fill="auto"/>
            <w:vAlign w:val="center"/>
          </w:tcPr>
          <w:p w14:paraId="1530B3DF">
            <w:pPr>
              <w:jc w:val="center"/>
              <w:rPr>
                <w:rFonts w:hint="eastAsia" w:ascii="Calibri" w:hAnsi="Calibri" w:eastAsia="宋体" w:cs="Calibri"/>
                <w:lang w:val="en-US" w:eastAsia="zh-CN"/>
              </w:rPr>
            </w:pPr>
            <w:r>
              <w:rPr>
                <w:rFonts w:hint="eastAsia" w:ascii="Calibri" w:hAnsi="Calibri" w:cs="Calibri"/>
                <w:lang w:val="en-US" w:eastAsia="zh-CN"/>
              </w:rPr>
              <w:t>杨婕</w:t>
            </w:r>
          </w:p>
        </w:tc>
        <w:tc>
          <w:tcPr>
            <w:tcW w:w="3260" w:type="dxa"/>
            <w:vAlign w:val="center"/>
          </w:tcPr>
          <w:p w14:paraId="2E474AEF">
            <w:pPr>
              <w:jc w:val="center"/>
              <w:rPr>
                <w:rFonts w:ascii="Calibri" w:hAnsi="Calibri" w:cs="Calibri"/>
              </w:rPr>
            </w:pPr>
            <w:r>
              <w:rPr>
                <w:rFonts w:hint="eastAsia" w:ascii="Calibri" w:hAnsi="Calibri" w:cs="Calibri"/>
              </w:rPr>
              <w:t>大连标准认证研究院有限公司</w:t>
            </w:r>
          </w:p>
        </w:tc>
        <w:tc>
          <w:tcPr>
            <w:tcW w:w="1714" w:type="dxa"/>
            <w:vAlign w:val="center"/>
          </w:tcPr>
          <w:p w14:paraId="2F65C19D">
            <w:pPr>
              <w:jc w:val="center"/>
              <w:rPr>
                <w:rFonts w:ascii="Calibri" w:hAnsi="Calibri" w:cs="Calibri"/>
              </w:rPr>
            </w:pPr>
            <w:r>
              <w:rPr>
                <w:rFonts w:ascii="Calibri" w:hAnsi="Calibri" w:cs="Calibri"/>
              </w:rPr>
              <w:t>工程师</w:t>
            </w:r>
          </w:p>
        </w:tc>
        <w:tc>
          <w:tcPr>
            <w:tcW w:w="1646" w:type="dxa"/>
            <w:vAlign w:val="center"/>
          </w:tcPr>
          <w:p w14:paraId="44C75424">
            <w:pPr>
              <w:jc w:val="center"/>
              <w:rPr>
                <w:rFonts w:ascii="Calibri" w:hAnsi="Calibri" w:cs="Calibri"/>
              </w:rPr>
            </w:pPr>
            <w:r>
              <w:rPr>
                <w:rFonts w:hint="eastAsia" w:ascii="Calibri" w:hAnsi="Calibri" w:cs="Calibri"/>
              </w:rPr>
              <w:t>标准编制工作</w:t>
            </w:r>
          </w:p>
        </w:tc>
      </w:tr>
      <w:tr w14:paraId="7EA6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5" w:type="dxa"/>
            <w:vAlign w:val="center"/>
          </w:tcPr>
          <w:p w14:paraId="1506F54F">
            <w:pPr>
              <w:spacing w:line="580" w:lineRule="exact"/>
              <w:jc w:val="center"/>
              <w:rPr>
                <w:rFonts w:ascii="Calibri" w:hAnsi="Calibri" w:cs="Calibri" w:eastAsiaTheme="minorEastAsia"/>
                <w:sz w:val="18"/>
                <w:szCs w:val="18"/>
              </w:rPr>
            </w:pPr>
            <w:r>
              <w:rPr>
                <w:rFonts w:ascii="Calibri" w:hAnsi="Calibri" w:cs="Calibri" w:eastAsiaTheme="minorEastAsia"/>
                <w:sz w:val="18"/>
                <w:szCs w:val="18"/>
              </w:rPr>
              <w:t>4</w:t>
            </w:r>
          </w:p>
        </w:tc>
        <w:tc>
          <w:tcPr>
            <w:tcW w:w="851" w:type="dxa"/>
            <w:shd w:val="clear" w:color="auto" w:fill="auto"/>
            <w:vAlign w:val="center"/>
          </w:tcPr>
          <w:p w14:paraId="45C24997">
            <w:pPr>
              <w:jc w:val="center"/>
              <w:rPr>
                <w:rFonts w:hint="default" w:ascii="Calibri" w:hAnsi="Calibri" w:eastAsia="宋体" w:cs="Calibri"/>
                <w:lang w:val="en-US" w:eastAsia="zh-CN"/>
              </w:rPr>
            </w:pPr>
            <w:r>
              <w:rPr>
                <w:rFonts w:hint="eastAsia" w:ascii="Calibri" w:hAnsi="Calibri" w:cs="Calibri"/>
                <w:lang w:val="en-US" w:eastAsia="zh-CN"/>
              </w:rPr>
              <w:t>刘文秀</w:t>
            </w:r>
          </w:p>
        </w:tc>
        <w:tc>
          <w:tcPr>
            <w:tcW w:w="3260" w:type="dxa"/>
            <w:vAlign w:val="center"/>
          </w:tcPr>
          <w:p w14:paraId="19EE37B6">
            <w:pPr>
              <w:jc w:val="center"/>
              <w:rPr>
                <w:rFonts w:ascii="Calibri" w:hAnsi="Calibri" w:cs="Calibri"/>
              </w:rPr>
            </w:pPr>
            <w:r>
              <w:rPr>
                <w:rFonts w:hint="eastAsia" w:ascii="Calibri" w:hAnsi="Calibri" w:cs="Calibri"/>
              </w:rPr>
              <w:t>大连欧亚直升机有限公司</w:t>
            </w:r>
          </w:p>
        </w:tc>
        <w:tc>
          <w:tcPr>
            <w:tcW w:w="1714" w:type="dxa"/>
            <w:vAlign w:val="center"/>
          </w:tcPr>
          <w:p w14:paraId="5022427E">
            <w:pPr>
              <w:jc w:val="center"/>
              <w:rPr>
                <w:rFonts w:hint="eastAsia" w:ascii="Calibri" w:hAnsi="Calibri" w:eastAsia="宋体" w:cs="Calibri"/>
                <w:lang w:val="en-US" w:eastAsia="zh-CN"/>
              </w:rPr>
            </w:pPr>
            <w:r>
              <w:rPr>
                <w:rFonts w:hint="eastAsia" w:ascii="Calibri" w:hAnsi="Calibri" w:cs="Calibri"/>
                <w:lang w:val="en-US" w:eastAsia="zh-CN"/>
              </w:rPr>
              <w:t>总监</w:t>
            </w:r>
          </w:p>
        </w:tc>
        <w:tc>
          <w:tcPr>
            <w:tcW w:w="1646" w:type="dxa"/>
            <w:shd w:val="clear" w:color="auto" w:fill="auto"/>
            <w:vAlign w:val="center"/>
          </w:tcPr>
          <w:p w14:paraId="0AB6D76F">
            <w:pPr>
              <w:jc w:val="center"/>
              <w:rPr>
                <w:rFonts w:ascii="Calibri" w:hAnsi="Calibri" w:cs="Calibri"/>
              </w:rPr>
            </w:pPr>
            <w:r>
              <w:rPr>
                <w:rFonts w:hint="eastAsia" w:ascii="Calibri" w:hAnsi="Calibri" w:cs="Calibri"/>
              </w:rPr>
              <w:t>标准方案验证及实施</w:t>
            </w:r>
          </w:p>
        </w:tc>
      </w:tr>
      <w:tr w14:paraId="325B6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75" w:type="dxa"/>
            <w:vAlign w:val="center"/>
          </w:tcPr>
          <w:p w14:paraId="4454FD6D">
            <w:pPr>
              <w:spacing w:line="580" w:lineRule="exact"/>
              <w:jc w:val="center"/>
              <w:rPr>
                <w:rFonts w:ascii="Calibri" w:hAnsi="Calibri" w:cs="Calibri" w:eastAsiaTheme="minorEastAsia"/>
                <w:sz w:val="18"/>
                <w:szCs w:val="18"/>
              </w:rPr>
            </w:pPr>
            <w:r>
              <w:rPr>
                <w:rFonts w:ascii="Calibri" w:hAnsi="Calibri" w:cs="Calibri" w:eastAsiaTheme="minorEastAsia"/>
                <w:sz w:val="18"/>
                <w:szCs w:val="18"/>
              </w:rPr>
              <w:t>5</w:t>
            </w:r>
          </w:p>
        </w:tc>
        <w:tc>
          <w:tcPr>
            <w:tcW w:w="851" w:type="dxa"/>
            <w:shd w:val="clear" w:color="auto" w:fill="auto"/>
            <w:vAlign w:val="center"/>
          </w:tcPr>
          <w:p w14:paraId="54736EF7">
            <w:pPr>
              <w:jc w:val="center"/>
              <w:rPr>
                <w:rFonts w:hint="eastAsia" w:ascii="Calibri" w:hAnsi="Calibri" w:eastAsia="宋体" w:cs="Calibri"/>
                <w:kern w:val="2"/>
                <w:sz w:val="21"/>
                <w:szCs w:val="24"/>
                <w:lang w:val="en-US" w:eastAsia="zh-CN" w:bidi="ar-SA"/>
              </w:rPr>
            </w:pPr>
            <w:r>
              <w:rPr>
                <w:rFonts w:hint="eastAsia" w:ascii="Calibri" w:hAnsi="Calibri" w:cs="Calibri"/>
                <w:lang w:val="en-US" w:eastAsia="zh-CN"/>
              </w:rPr>
              <w:t>苏展</w:t>
            </w:r>
          </w:p>
        </w:tc>
        <w:tc>
          <w:tcPr>
            <w:tcW w:w="3260" w:type="dxa"/>
            <w:shd w:val="clear" w:color="auto" w:fill="auto"/>
            <w:vAlign w:val="center"/>
          </w:tcPr>
          <w:p w14:paraId="2C8ABD53">
            <w:pPr>
              <w:jc w:val="center"/>
              <w:rPr>
                <w:rFonts w:ascii="Calibri" w:hAnsi="Calibri" w:eastAsia="宋体" w:cs="Calibri"/>
                <w:kern w:val="2"/>
                <w:sz w:val="21"/>
                <w:szCs w:val="24"/>
                <w:lang w:val="en-US" w:eastAsia="zh-CN" w:bidi="ar-SA"/>
              </w:rPr>
            </w:pPr>
            <w:r>
              <w:rPr>
                <w:rFonts w:hint="eastAsia" w:ascii="Calibri" w:hAnsi="Calibri" w:cs="Calibri"/>
              </w:rPr>
              <w:t>大连标准认证研究院有限公司</w:t>
            </w:r>
          </w:p>
        </w:tc>
        <w:tc>
          <w:tcPr>
            <w:tcW w:w="1714" w:type="dxa"/>
            <w:shd w:val="clear" w:color="auto" w:fill="auto"/>
            <w:vAlign w:val="center"/>
          </w:tcPr>
          <w:p w14:paraId="109704AC">
            <w:pPr>
              <w:jc w:val="center"/>
              <w:rPr>
                <w:rFonts w:ascii="Calibri" w:hAnsi="Calibri" w:eastAsia="宋体" w:cs="Calibri"/>
                <w:kern w:val="2"/>
                <w:sz w:val="21"/>
                <w:szCs w:val="24"/>
                <w:lang w:val="en-US" w:eastAsia="zh-CN" w:bidi="ar-SA"/>
              </w:rPr>
            </w:pPr>
            <w:r>
              <w:rPr>
                <w:rFonts w:ascii="Calibri" w:hAnsi="Calibri" w:cs="Calibri"/>
              </w:rPr>
              <w:t>工程师</w:t>
            </w:r>
          </w:p>
        </w:tc>
        <w:tc>
          <w:tcPr>
            <w:tcW w:w="1646" w:type="dxa"/>
            <w:shd w:val="clear" w:color="auto" w:fill="auto"/>
            <w:vAlign w:val="center"/>
          </w:tcPr>
          <w:p w14:paraId="7105D4B5">
            <w:pPr>
              <w:jc w:val="center"/>
              <w:rPr>
                <w:rFonts w:ascii="Calibri" w:hAnsi="Calibri" w:eastAsia="宋体" w:cs="Calibri"/>
                <w:kern w:val="2"/>
                <w:sz w:val="21"/>
                <w:szCs w:val="24"/>
                <w:lang w:val="en-US" w:eastAsia="zh-CN" w:bidi="ar-SA"/>
              </w:rPr>
            </w:pPr>
            <w:r>
              <w:rPr>
                <w:rFonts w:hint="eastAsia" w:ascii="Calibri" w:hAnsi="Calibri" w:cs="Calibri"/>
              </w:rPr>
              <w:t>标准编制工作</w:t>
            </w:r>
          </w:p>
        </w:tc>
      </w:tr>
      <w:tr w14:paraId="1434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75" w:type="dxa"/>
            <w:vAlign w:val="center"/>
          </w:tcPr>
          <w:p w14:paraId="4E2F1AD5">
            <w:pPr>
              <w:spacing w:line="580" w:lineRule="exact"/>
              <w:jc w:val="center"/>
              <w:rPr>
                <w:rFonts w:ascii="Calibri" w:hAnsi="Calibri" w:cs="Calibri" w:eastAsiaTheme="minorEastAsia"/>
                <w:sz w:val="18"/>
                <w:szCs w:val="18"/>
              </w:rPr>
            </w:pPr>
          </w:p>
        </w:tc>
        <w:tc>
          <w:tcPr>
            <w:tcW w:w="851" w:type="dxa"/>
            <w:shd w:val="clear" w:color="auto" w:fill="auto"/>
            <w:vAlign w:val="center"/>
          </w:tcPr>
          <w:p w14:paraId="21CD4735">
            <w:pPr>
              <w:jc w:val="center"/>
              <w:rPr>
                <w:rFonts w:ascii="Calibri" w:hAnsi="Calibri" w:cs="Calibri"/>
              </w:rPr>
            </w:pPr>
          </w:p>
        </w:tc>
        <w:tc>
          <w:tcPr>
            <w:tcW w:w="3260" w:type="dxa"/>
            <w:shd w:val="clear" w:color="auto" w:fill="auto"/>
            <w:vAlign w:val="center"/>
          </w:tcPr>
          <w:p w14:paraId="5386E624">
            <w:pPr>
              <w:jc w:val="center"/>
              <w:rPr>
                <w:rFonts w:ascii="Calibri" w:hAnsi="Calibri" w:cs="Calibri"/>
              </w:rPr>
            </w:pPr>
          </w:p>
        </w:tc>
        <w:tc>
          <w:tcPr>
            <w:tcW w:w="1714" w:type="dxa"/>
            <w:shd w:val="clear" w:color="auto" w:fill="auto"/>
            <w:vAlign w:val="center"/>
          </w:tcPr>
          <w:p w14:paraId="1DDDBB48">
            <w:pPr>
              <w:jc w:val="center"/>
              <w:rPr>
                <w:rFonts w:ascii="Calibri" w:hAnsi="Calibri" w:cs="Calibri"/>
              </w:rPr>
            </w:pPr>
          </w:p>
        </w:tc>
        <w:tc>
          <w:tcPr>
            <w:tcW w:w="1646" w:type="dxa"/>
            <w:shd w:val="clear" w:color="auto" w:fill="auto"/>
            <w:vAlign w:val="center"/>
          </w:tcPr>
          <w:p w14:paraId="690B9E35">
            <w:pPr>
              <w:jc w:val="center"/>
              <w:rPr>
                <w:rFonts w:ascii="Calibri" w:hAnsi="Calibri" w:cs="Calibri"/>
              </w:rPr>
            </w:pPr>
          </w:p>
        </w:tc>
      </w:tr>
    </w:tbl>
    <w:p w14:paraId="43ADD298">
      <w:pPr>
        <w:ind w:firstLine="630" w:firstLineChars="196"/>
        <w:rPr>
          <w:rFonts w:eastAsia="楷体"/>
          <w:b/>
          <w:color w:val="000000"/>
          <w:sz w:val="32"/>
          <w:szCs w:val="32"/>
        </w:rPr>
      </w:pPr>
      <w:r>
        <w:rPr>
          <w:rFonts w:eastAsia="楷体"/>
          <w:b/>
          <w:color w:val="000000"/>
          <w:sz w:val="32"/>
          <w:szCs w:val="32"/>
        </w:rPr>
        <w:t>（五）主要工作过程</w:t>
      </w:r>
    </w:p>
    <w:p w14:paraId="75630A3D">
      <w:pPr>
        <w:spacing w:line="560" w:lineRule="exact"/>
        <w:ind w:firstLine="640" w:firstLineChars="200"/>
        <w:rPr>
          <w:rFonts w:eastAsia="仿宋_GB2312"/>
          <w:sz w:val="32"/>
          <w:szCs w:val="22"/>
        </w:rPr>
      </w:pPr>
      <w:r>
        <w:rPr>
          <w:rFonts w:eastAsia="仿宋_GB2312"/>
          <w:sz w:val="32"/>
          <w:szCs w:val="22"/>
        </w:rPr>
        <w:t>1.成立标准制定工作组</w:t>
      </w:r>
    </w:p>
    <w:p w14:paraId="0C1C06F3">
      <w:pPr>
        <w:spacing w:line="560" w:lineRule="exact"/>
        <w:ind w:firstLine="640" w:firstLineChars="200"/>
        <w:rPr>
          <w:rFonts w:eastAsia="仿宋_GB2312"/>
          <w:sz w:val="32"/>
          <w:szCs w:val="22"/>
        </w:rPr>
      </w:pPr>
      <w:r>
        <w:rPr>
          <w:rFonts w:hint="eastAsia" w:eastAsia="仿宋_GB2312"/>
          <w:sz w:val="32"/>
          <w:szCs w:val="22"/>
        </w:rPr>
        <w:t>2026年2月，标准制定任务下达后，首先确定了工作组的主要组成人员及人员分工，主要由从事标准制修订、低空旅游服务的专业研究人员组成；召开了标准起草会议，项目负责人对标准的立项情况做了详细介绍，制定了标准研制的总体思路和框架。</w:t>
      </w:r>
    </w:p>
    <w:p w14:paraId="41D710B5">
      <w:pPr>
        <w:spacing w:line="560" w:lineRule="exact"/>
        <w:ind w:firstLine="640" w:firstLineChars="200"/>
        <w:rPr>
          <w:rFonts w:eastAsia="仿宋_GB2312"/>
          <w:sz w:val="32"/>
          <w:szCs w:val="22"/>
        </w:rPr>
      </w:pPr>
      <w:r>
        <w:rPr>
          <w:rFonts w:hint="eastAsia" w:eastAsia="仿宋_GB2312"/>
          <w:sz w:val="32"/>
          <w:szCs w:val="22"/>
        </w:rPr>
        <w:t>2.查询相关标准和文献资料</w:t>
      </w:r>
    </w:p>
    <w:p w14:paraId="259D0B7C">
      <w:pPr>
        <w:spacing w:line="560" w:lineRule="exact"/>
        <w:ind w:firstLine="640" w:firstLineChars="200"/>
        <w:rPr>
          <w:rFonts w:eastAsia="仿宋_GB2312"/>
          <w:sz w:val="32"/>
          <w:szCs w:val="22"/>
        </w:rPr>
      </w:pPr>
      <w:r>
        <w:rPr>
          <w:rFonts w:hint="eastAsia" w:eastAsia="仿宋_GB2312"/>
          <w:sz w:val="32"/>
          <w:szCs w:val="22"/>
        </w:rPr>
        <w:t>2026年3月，工作组收集相关材料，查阅研读了我国低空观光旅游相关标准（如GB/T 10001系列、民航局《空中游览》咨询通告、通用航空安全运行相关规章）以及科技文献资料，并制定了初步的标准编制工作计划。</w:t>
      </w:r>
    </w:p>
    <w:p w14:paraId="2765D02C">
      <w:pPr>
        <w:spacing w:line="560" w:lineRule="exact"/>
        <w:ind w:firstLine="640" w:firstLineChars="200"/>
        <w:rPr>
          <w:rFonts w:eastAsia="仿宋_GB2312"/>
          <w:sz w:val="32"/>
          <w:szCs w:val="22"/>
        </w:rPr>
      </w:pPr>
      <w:r>
        <w:rPr>
          <w:rFonts w:hint="eastAsia" w:eastAsia="仿宋_GB2312"/>
          <w:sz w:val="32"/>
          <w:szCs w:val="22"/>
        </w:rPr>
        <w:t>3.形成征求意见稿及编制说明</w:t>
      </w:r>
    </w:p>
    <w:p w14:paraId="4889CEF9">
      <w:pPr>
        <w:spacing w:line="560" w:lineRule="exact"/>
        <w:ind w:firstLine="640" w:firstLineChars="200"/>
        <w:rPr>
          <w:rFonts w:eastAsia="仿宋_GB2312"/>
          <w:sz w:val="32"/>
          <w:szCs w:val="22"/>
        </w:rPr>
      </w:pPr>
      <w:r>
        <w:rPr>
          <w:rFonts w:hint="eastAsia" w:eastAsia="仿宋_GB2312"/>
          <w:sz w:val="32"/>
          <w:szCs w:val="22"/>
        </w:rPr>
        <w:t>2026年4月，工作组查阅、收集和整理了国内外有关研究进展，初步形成了标准草案。经过多次内部讨论、研究、征求意见，对存在的问题进行了修订，初步确定了标准初稿并对初稿进行多次反复修改，形成征求意见稿及编制说明。</w:t>
      </w:r>
    </w:p>
    <w:p w14:paraId="1E118A0B">
      <w:pPr>
        <w:spacing w:line="560" w:lineRule="exact"/>
        <w:ind w:firstLine="640" w:firstLineChars="200"/>
        <w:rPr>
          <w:rFonts w:eastAsia="仿宋_GB2312"/>
          <w:sz w:val="32"/>
          <w:szCs w:val="22"/>
        </w:rPr>
      </w:pPr>
      <w:r>
        <w:rPr>
          <w:rFonts w:eastAsia="仿宋_GB2312"/>
          <w:sz w:val="32"/>
          <w:szCs w:val="22"/>
        </w:rPr>
        <w:t>5.征求意见</w:t>
      </w:r>
    </w:p>
    <w:p w14:paraId="724983EB">
      <w:pPr>
        <w:spacing w:line="560" w:lineRule="exact"/>
        <w:ind w:firstLine="640" w:firstLineChars="200"/>
        <w:rPr>
          <w:rFonts w:eastAsia="仿宋_GB2312"/>
          <w:sz w:val="32"/>
          <w:szCs w:val="22"/>
        </w:rPr>
      </w:pPr>
      <w:r>
        <w:rPr>
          <w:rFonts w:eastAsia="仿宋_GB2312"/>
          <w:sz w:val="32"/>
          <w:szCs w:val="22"/>
        </w:rPr>
        <w:t>为充分吸纳各方意见、确保标准技术内容的科学性与适用性，编制组于202</w:t>
      </w:r>
      <w:r>
        <w:rPr>
          <w:rFonts w:hint="eastAsia" w:eastAsia="仿宋_GB2312"/>
          <w:sz w:val="32"/>
          <w:szCs w:val="22"/>
        </w:rPr>
        <w:t>6</w:t>
      </w:r>
      <w:r>
        <w:rPr>
          <w:rFonts w:eastAsia="仿宋_GB2312"/>
          <w:sz w:val="32"/>
          <w:szCs w:val="22"/>
        </w:rPr>
        <w:t>年</w:t>
      </w:r>
      <w:r>
        <w:rPr>
          <w:rFonts w:hint="eastAsia" w:eastAsia="仿宋_GB2312"/>
          <w:sz w:val="32"/>
          <w:szCs w:val="22"/>
          <w:lang w:val="en-US" w:eastAsia="zh-CN"/>
        </w:rPr>
        <w:t>6</w:t>
      </w:r>
      <w:r>
        <w:rPr>
          <w:rFonts w:eastAsia="仿宋_GB2312"/>
          <w:sz w:val="32"/>
          <w:szCs w:val="22"/>
        </w:rPr>
        <w:t>月通过大连市标准化公共服务平台，面向全社会公开征求意见。同时，为确保征求意见的广泛性和代表性，编制组还定向邀请了相关生产企业、检验检测机构、科研院所及行业专家，以发函方式开展针对性意见征询。此举旨在搭建开放透明的协商机制，既广泛汇集社会各界的实践经验与专业智慧，也为后续标准的技术审查与修改完善奠定了坚实基础。</w:t>
      </w:r>
    </w:p>
    <w:p w14:paraId="29E4D652">
      <w:pPr>
        <w:spacing w:line="560" w:lineRule="exact"/>
        <w:ind w:firstLine="640" w:firstLineChars="200"/>
        <w:rPr>
          <w:rFonts w:eastAsia="仿宋_GB2312"/>
          <w:sz w:val="32"/>
          <w:szCs w:val="22"/>
        </w:rPr>
      </w:pPr>
      <w:r>
        <w:rPr>
          <w:rFonts w:eastAsia="仿宋_GB2312"/>
          <w:sz w:val="32"/>
          <w:szCs w:val="22"/>
        </w:rPr>
        <w:t>6.送审</w:t>
      </w:r>
    </w:p>
    <w:p w14:paraId="53F913AE">
      <w:pPr>
        <w:spacing w:line="560" w:lineRule="exact"/>
        <w:ind w:firstLine="640" w:firstLineChars="200"/>
        <w:rPr>
          <w:rFonts w:eastAsia="仿宋_GB2312"/>
          <w:sz w:val="32"/>
          <w:szCs w:val="22"/>
        </w:rPr>
      </w:pPr>
      <w:r>
        <w:rPr>
          <w:rFonts w:eastAsia="仿宋_GB2312"/>
          <w:sz w:val="32"/>
          <w:szCs w:val="22"/>
        </w:rPr>
        <w:t>在广泛征求意见的基础上，编制组对征集到的意见建议进行了逐条登记、分类整理与深入研讨。针对指关键问题编制组认真采纳合理化建议，对标准文本及编制说明进行了多轮修改与完善，进一步提升了标准的科学性与可操作性。2026年</w:t>
      </w:r>
      <w:r>
        <w:rPr>
          <w:rFonts w:hint="eastAsia" w:eastAsia="仿宋_GB2312"/>
          <w:sz w:val="32"/>
          <w:szCs w:val="22"/>
          <w:lang w:val="en-US" w:eastAsia="zh-CN"/>
        </w:rPr>
        <w:t>7</w:t>
      </w:r>
      <w:r>
        <w:rPr>
          <w:rFonts w:eastAsia="仿宋_GB2312"/>
          <w:sz w:val="32"/>
          <w:szCs w:val="22"/>
        </w:rPr>
        <w:t>月，编制组组织召开了专家审查会，邀请相关领域专家组成专家组，对标准送审稿及其技术内容进行专业质询与审议，为标准的后续报批与发布奠定了坚实基础。</w:t>
      </w:r>
    </w:p>
    <w:p w14:paraId="73F6E423">
      <w:pPr>
        <w:ind w:firstLine="627" w:firstLineChars="196"/>
        <w:rPr>
          <w:rFonts w:eastAsia="黑体"/>
          <w:sz w:val="32"/>
          <w:szCs w:val="32"/>
        </w:rPr>
      </w:pPr>
      <w:r>
        <w:rPr>
          <w:rFonts w:eastAsia="黑体"/>
          <w:sz w:val="32"/>
          <w:szCs w:val="32"/>
        </w:rPr>
        <w:t>二、编制原则</w:t>
      </w:r>
    </w:p>
    <w:p w14:paraId="3C083EC8">
      <w:pPr>
        <w:spacing w:line="560" w:lineRule="exact"/>
        <w:ind w:firstLine="640" w:firstLineChars="200"/>
        <w:rPr>
          <w:rFonts w:eastAsia="仿宋_GB2312"/>
          <w:sz w:val="32"/>
          <w:szCs w:val="22"/>
        </w:rPr>
      </w:pPr>
      <w:r>
        <w:rPr>
          <w:rFonts w:hint="eastAsia" w:eastAsia="仿宋_GB2312"/>
          <w:sz w:val="32"/>
          <w:szCs w:val="22"/>
        </w:rPr>
        <w:t>本标准在编制过程中，遵循以下核心原则：</w:t>
      </w:r>
    </w:p>
    <w:p w14:paraId="64C970F8">
      <w:pPr>
        <w:spacing w:line="560" w:lineRule="exact"/>
        <w:ind w:firstLine="640" w:firstLineChars="200"/>
        <w:rPr>
          <w:rFonts w:eastAsia="仿宋_GB2312"/>
          <w:sz w:val="32"/>
          <w:szCs w:val="22"/>
        </w:rPr>
      </w:pPr>
      <w:r>
        <w:rPr>
          <w:rFonts w:hint="eastAsia" w:eastAsia="仿宋_GB2312"/>
          <w:sz w:val="32"/>
          <w:szCs w:val="22"/>
        </w:rPr>
        <w:t>1. 科学性原则</w:t>
      </w:r>
    </w:p>
    <w:p w14:paraId="53F9DA3C">
      <w:pPr>
        <w:spacing w:line="560" w:lineRule="exact"/>
        <w:ind w:firstLine="640" w:firstLineChars="200"/>
        <w:rPr>
          <w:rFonts w:eastAsia="仿宋_GB2312"/>
          <w:sz w:val="32"/>
          <w:szCs w:val="22"/>
        </w:rPr>
      </w:pPr>
      <w:r>
        <w:rPr>
          <w:rFonts w:hint="eastAsia" w:eastAsia="仿宋_GB2312"/>
          <w:sz w:val="32"/>
          <w:szCs w:val="22"/>
        </w:rPr>
        <w:t>以海岸带低空观光旅游的实际运营规律为基础，结合航空安全、旅游服务、滨海环境等多学科知识，确保技术内容的科学、合理、可行。</w:t>
      </w:r>
    </w:p>
    <w:p w14:paraId="3CE86F32">
      <w:pPr>
        <w:spacing w:line="560" w:lineRule="exact"/>
        <w:ind w:firstLine="640" w:firstLineChars="200"/>
        <w:rPr>
          <w:rFonts w:eastAsia="仿宋_GB2312"/>
          <w:sz w:val="32"/>
          <w:szCs w:val="22"/>
        </w:rPr>
      </w:pPr>
      <w:r>
        <w:rPr>
          <w:rFonts w:hint="eastAsia" w:eastAsia="仿宋_GB2312"/>
          <w:sz w:val="32"/>
          <w:szCs w:val="22"/>
        </w:rPr>
        <w:t>2. 适用性原则</w:t>
      </w:r>
    </w:p>
    <w:p w14:paraId="32CDE43A">
      <w:pPr>
        <w:spacing w:line="560" w:lineRule="exact"/>
        <w:ind w:firstLine="640" w:firstLineChars="200"/>
        <w:rPr>
          <w:rFonts w:eastAsia="仿宋_GB2312"/>
          <w:sz w:val="32"/>
          <w:szCs w:val="22"/>
        </w:rPr>
      </w:pPr>
      <w:r>
        <w:rPr>
          <w:rFonts w:hint="eastAsia" w:eastAsia="仿宋_GB2312"/>
          <w:sz w:val="32"/>
          <w:szCs w:val="22"/>
        </w:rPr>
        <w:t>充分考虑大连及类似滨海地区的气候（多风、多雾、盐雾腐蚀）、地理（海岸线、海岛）、旅游季节性等特点，提出的要求贴合本地实际，便于企业执行和监管部门检查。</w:t>
      </w:r>
    </w:p>
    <w:p w14:paraId="252A65F1">
      <w:pPr>
        <w:spacing w:line="560" w:lineRule="exact"/>
        <w:ind w:firstLine="640" w:firstLineChars="200"/>
        <w:rPr>
          <w:rFonts w:eastAsia="仿宋_GB2312"/>
          <w:sz w:val="32"/>
          <w:szCs w:val="22"/>
        </w:rPr>
      </w:pPr>
      <w:r>
        <w:rPr>
          <w:rFonts w:hint="eastAsia" w:eastAsia="仿宋_GB2312"/>
          <w:sz w:val="32"/>
          <w:szCs w:val="22"/>
        </w:rPr>
        <w:t>3. 协调性原则</w:t>
      </w:r>
    </w:p>
    <w:p w14:paraId="10A4587A">
      <w:pPr>
        <w:spacing w:line="560" w:lineRule="exact"/>
        <w:ind w:firstLine="640" w:firstLineChars="200"/>
        <w:rPr>
          <w:rFonts w:eastAsia="仿宋_GB2312"/>
          <w:sz w:val="32"/>
          <w:szCs w:val="22"/>
        </w:rPr>
      </w:pPr>
      <w:r>
        <w:rPr>
          <w:rFonts w:hint="eastAsia" w:eastAsia="仿宋_GB2312"/>
          <w:sz w:val="32"/>
          <w:szCs w:val="22"/>
        </w:rPr>
        <w:t>与现行法律法规（《民用航空法》《通用航空经营许可管理规定》等）、国家标准（GB/T 10001.1、GB/T 10001.2）及行业规范保持协调一致，不产生冲突。</w:t>
      </w:r>
    </w:p>
    <w:p w14:paraId="1DDA9D55">
      <w:pPr>
        <w:spacing w:line="560" w:lineRule="exact"/>
        <w:ind w:firstLine="640" w:firstLineChars="200"/>
        <w:rPr>
          <w:rFonts w:eastAsia="仿宋_GB2312"/>
          <w:sz w:val="32"/>
          <w:szCs w:val="22"/>
        </w:rPr>
      </w:pPr>
      <w:r>
        <w:rPr>
          <w:rFonts w:hint="eastAsia" w:eastAsia="仿宋_GB2312"/>
          <w:sz w:val="32"/>
          <w:szCs w:val="22"/>
        </w:rPr>
        <w:t>4. 前瞻性原则</w:t>
      </w:r>
    </w:p>
    <w:p w14:paraId="08A703BA">
      <w:pPr>
        <w:spacing w:line="560" w:lineRule="exact"/>
        <w:ind w:firstLine="640" w:firstLineChars="200"/>
        <w:rPr>
          <w:rFonts w:eastAsia="仿宋_GB2312"/>
          <w:sz w:val="32"/>
          <w:szCs w:val="22"/>
        </w:rPr>
      </w:pPr>
      <w:r>
        <w:rPr>
          <w:rFonts w:hint="eastAsia" w:eastAsia="仿宋_GB2312"/>
          <w:sz w:val="32"/>
          <w:szCs w:val="22"/>
        </w:rPr>
        <w:t>兼顾未来技术发展（如eVTOL的普及）、国际游客需求（外语服务）等，体现标准的引领作用。</w:t>
      </w:r>
    </w:p>
    <w:p w14:paraId="37D3D535">
      <w:pPr>
        <w:ind w:firstLine="627" w:firstLineChars="196"/>
        <w:rPr>
          <w:rFonts w:eastAsia="黑体"/>
          <w:sz w:val="32"/>
          <w:szCs w:val="32"/>
        </w:rPr>
      </w:pPr>
      <w:r>
        <w:rPr>
          <w:rFonts w:eastAsia="黑体"/>
          <w:sz w:val="32"/>
          <w:szCs w:val="32"/>
        </w:rPr>
        <w:t>三、主要内容及依据</w:t>
      </w:r>
    </w:p>
    <w:p w14:paraId="2E671CCB">
      <w:pPr>
        <w:spacing w:line="560" w:lineRule="exact"/>
        <w:ind w:firstLine="640" w:firstLineChars="200"/>
        <w:rPr>
          <w:rFonts w:hint="eastAsia" w:eastAsia="仿宋_GB2312"/>
          <w:sz w:val="32"/>
          <w:szCs w:val="22"/>
        </w:rPr>
      </w:pPr>
      <w:r>
        <w:rPr>
          <w:rFonts w:hint="eastAsia" w:eastAsia="仿宋_GB2312"/>
          <w:sz w:val="32"/>
          <w:szCs w:val="22"/>
        </w:rPr>
        <w:t>（一）总体说明</w:t>
      </w:r>
    </w:p>
    <w:p w14:paraId="54F4849E">
      <w:pPr>
        <w:spacing w:line="560" w:lineRule="exact"/>
        <w:ind w:firstLine="640" w:firstLineChars="200"/>
        <w:rPr>
          <w:rFonts w:eastAsia="仿宋_GB2312"/>
          <w:sz w:val="32"/>
          <w:szCs w:val="22"/>
        </w:rPr>
      </w:pPr>
      <w:r>
        <w:rPr>
          <w:rFonts w:hint="eastAsia" w:eastAsia="仿宋_GB2312"/>
          <w:sz w:val="32"/>
          <w:szCs w:val="22"/>
        </w:rPr>
        <w:t>本标准为服务管理类标准，不涉及理化指标、试验公式或产品检验规则。其主要技术内容为</w:t>
      </w:r>
      <w:r>
        <w:rPr>
          <w:rFonts w:hint="eastAsia" w:eastAsia="仿宋_GB2312"/>
          <w:sz w:val="32"/>
          <w:szCs w:val="22"/>
          <w:lang w:val="en-US" w:eastAsia="zh-CN"/>
        </w:rPr>
        <w:t>运营服务机构</w:t>
      </w:r>
      <w:r>
        <w:rPr>
          <w:rFonts w:hint="eastAsia" w:eastAsia="仿宋_GB2312"/>
          <w:sz w:val="32"/>
          <w:szCs w:val="22"/>
        </w:rPr>
        <w:t>资质、场地运营条件、经营管理要求、服务设施与设备、服务人员能力、服务流程、安全与应急管理、服务质量评价与改进等八个方面。各项内容的确定主要依据以下四类来源：一是国家现行法律法规及民航规章；二是相关国家标准和行业标准；三是海岸带特殊地理气候环境的实际运营经验；四是行业调研和专家咨询意见。</w:t>
      </w:r>
    </w:p>
    <w:p w14:paraId="43907E62">
      <w:pPr>
        <w:spacing w:line="560" w:lineRule="exact"/>
        <w:ind w:firstLine="640" w:firstLineChars="200"/>
        <w:rPr>
          <w:rFonts w:hint="eastAsia" w:eastAsia="仿宋_GB2312"/>
          <w:sz w:val="32"/>
          <w:szCs w:val="22"/>
        </w:rPr>
      </w:pPr>
      <w:r>
        <w:rPr>
          <w:rFonts w:hint="eastAsia" w:eastAsia="仿宋_GB2312"/>
          <w:sz w:val="32"/>
          <w:szCs w:val="22"/>
        </w:rPr>
        <w:t>（二）各项技术内容确定的详细依据</w:t>
      </w:r>
    </w:p>
    <w:p w14:paraId="194D5F67">
      <w:pPr>
        <w:spacing w:line="560" w:lineRule="exact"/>
        <w:ind w:firstLine="640" w:firstLineChars="200"/>
        <w:rPr>
          <w:rFonts w:hint="eastAsia" w:eastAsia="仿宋_GB2312"/>
          <w:sz w:val="32"/>
          <w:szCs w:val="22"/>
        </w:rPr>
      </w:pPr>
      <w:r>
        <w:rPr>
          <w:rFonts w:hint="eastAsia" w:eastAsia="仿宋_GB2312"/>
          <w:sz w:val="32"/>
          <w:szCs w:val="22"/>
        </w:rPr>
        <w:t>1. 运营服务机构资质要求</w:t>
      </w:r>
    </w:p>
    <w:p w14:paraId="02137450">
      <w:pPr>
        <w:spacing w:line="560" w:lineRule="exact"/>
        <w:ind w:firstLine="640" w:firstLineChars="200"/>
        <w:rPr>
          <w:rFonts w:eastAsia="仿宋_GB2312"/>
          <w:sz w:val="32"/>
          <w:szCs w:val="22"/>
        </w:rPr>
      </w:pPr>
      <w:r>
        <w:rPr>
          <w:rFonts w:hint="eastAsia" w:eastAsia="仿宋_GB2312"/>
          <w:sz w:val="32"/>
          <w:szCs w:val="22"/>
        </w:rPr>
        <w:t>本标准要求运营服务机构依法取得营业执照、通用航空经营许可证、适航证、空域使用批准文件，并办理相关备案登记手续。上述要求的依据如下：</w:t>
      </w:r>
    </w:p>
    <w:p w14:paraId="25DBD28D">
      <w:pPr>
        <w:spacing w:line="560" w:lineRule="exact"/>
        <w:ind w:firstLine="640" w:firstLineChars="200"/>
        <w:rPr>
          <w:rFonts w:eastAsia="仿宋_GB2312"/>
          <w:sz w:val="32"/>
          <w:szCs w:val="22"/>
        </w:rPr>
      </w:pPr>
      <w:r>
        <w:rPr>
          <w:rFonts w:hint="eastAsia" w:eastAsia="仿宋_GB2312"/>
          <w:sz w:val="32"/>
          <w:szCs w:val="22"/>
        </w:rPr>
        <w:t>《中华人民共和国民用航空法》规定，从事经营性通用航空活动应当取得通用航空经营许可证；航空器应当具有适航证。</w:t>
      </w:r>
    </w:p>
    <w:p w14:paraId="3256F37A">
      <w:pPr>
        <w:spacing w:line="560" w:lineRule="exact"/>
        <w:ind w:firstLine="640" w:firstLineChars="200"/>
        <w:rPr>
          <w:rFonts w:eastAsia="仿宋_GB2312"/>
          <w:sz w:val="32"/>
          <w:szCs w:val="22"/>
        </w:rPr>
      </w:pPr>
      <w:r>
        <w:rPr>
          <w:rFonts w:hint="eastAsia" w:eastAsia="仿宋_GB2312"/>
          <w:sz w:val="32"/>
          <w:szCs w:val="22"/>
        </w:rPr>
        <w:t>《通用航空经营许可管理规定》（交通运输部令2020年第12号）明确，空中游览属于通用航空经营项目，需在许可范围内开展。</w:t>
      </w:r>
    </w:p>
    <w:p w14:paraId="19CC538D">
      <w:pPr>
        <w:spacing w:line="560" w:lineRule="exact"/>
        <w:ind w:firstLine="640" w:firstLineChars="200"/>
        <w:rPr>
          <w:rFonts w:eastAsia="仿宋_GB2312"/>
          <w:sz w:val="32"/>
          <w:szCs w:val="22"/>
        </w:rPr>
      </w:pPr>
      <w:r>
        <w:rPr>
          <w:rFonts w:hint="eastAsia" w:eastAsia="仿宋_GB2312"/>
          <w:sz w:val="32"/>
          <w:szCs w:val="22"/>
        </w:rPr>
        <w:t>中国民用航空局《一般运行和飞行规则》（CCAR-91）和《小型商业运输和空中游览运营人运行合格审定规则》（CCAR-135）对空中游览的运行资质、空域使用、飞行员资质等作出明确规定。</w:t>
      </w:r>
    </w:p>
    <w:p w14:paraId="0580BDFA">
      <w:pPr>
        <w:spacing w:line="560" w:lineRule="exact"/>
        <w:ind w:firstLine="640" w:firstLineChars="200"/>
        <w:rPr>
          <w:rFonts w:eastAsia="仿宋_GB2312"/>
          <w:sz w:val="32"/>
          <w:szCs w:val="22"/>
        </w:rPr>
      </w:pPr>
      <w:r>
        <w:rPr>
          <w:rFonts w:hint="eastAsia" w:eastAsia="仿宋_GB2312"/>
          <w:sz w:val="32"/>
          <w:szCs w:val="22"/>
        </w:rPr>
        <w:t>海岸带低空观光涉及海事、海洋、旅游等多部门监管，因此要求向文化和旅游、民航、公安、海事、海洋等主管部门办理备案，依据为《旅游法》《海上交通安全法》及地方联合监管要求。</w:t>
      </w:r>
    </w:p>
    <w:p w14:paraId="3704D10D">
      <w:pPr>
        <w:spacing w:line="560" w:lineRule="exact"/>
        <w:ind w:firstLine="640" w:firstLineChars="200"/>
        <w:rPr>
          <w:rFonts w:hint="eastAsia" w:eastAsia="仿宋_GB2312"/>
          <w:sz w:val="32"/>
          <w:szCs w:val="22"/>
        </w:rPr>
      </w:pPr>
      <w:r>
        <w:rPr>
          <w:rFonts w:hint="eastAsia" w:eastAsia="仿宋_GB2312"/>
          <w:sz w:val="32"/>
          <w:szCs w:val="22"/>
        </w:rPr>
        <w:t>2. 场地运营条件</w:t>
      </w:r>
    </w:p>
    <w:p w14:paraId="4E1126D3">
      <w:pPr>
        <w:spacing w:line="560" w:lineRule="exact"/>
        <w:ind w:firstLine="640" w:firstLineChars="200"/>
        <w:rPr>
          <w:rFonts w:eastAsia="仿宋_GB2312"/>
          <w:sz w:val="32"/>
          <w:szCs w:val="22"/>
        </w:rPr>
      </w:pPr>
      <w:r>
        <w:rPr>
          <w:rFonts w:hint="eastAsia" w:eastAsia="仿宋_GB2312"/>
          <w:sz w:val="32"/>
          <w:szCs w:val="22"/>
        </w:rPr>
        <w:t>起降场选址要求地势平整、视野开阔、远离高层建筑和人员密集区，依据为民航局《直升机机场运行和设计规范》（MH/T 5026）中关于起降场选址的安全距离要求。分区清晰、划分飞行器停放区、旅客等候区、安检区、登机区、应急疏散区的要求，参考了《民用运输机场航站楼设计规范》及通用航空临时起降点安全运行指南，旨在减少人机交叉风险。</w:t>
      </w:r>
    </w:p>
    <w:p w14:paraId="64EF26AC">
      <w:pPr>
        <w:spacing w:line="560" w:lineRule="exact"/>
        <w:ind w:firstLine="640" w:firstLineChars="200"/>
        <w:rPr>
          <w:rFonts w:eastAsia="仿宋_GB2312"/>
          <w:sz w:val="32"/>
          <w:szCs w:val="22"/>
        </w:rPr>
      </w:pPr>
      <w:r>
        <w:rPr>
          <w:rFonts w:hint="eastAsia" w:eastAsia="仿宋_GB2312"/>
          <w:sz w:val="32"/>
          <w:szCs w:val="22"/>
        </w:rPr>
        <w:t>针对滨海多雨、多风、多盐雾气候，提出防腐、防潮、防风、防雷防静电措施，依据为大连及类似滨海地区多年运营企业反馈的实际经验——普通设备在海岸带环境中锈蚀速度显著加快，直接影响安全和使用寿命。标识设置引用GB/T 10001.1和GB/T 10001.2，确保图形符号的规范性和跨文化理解性。地面防滑处理的要求，依据《建筑地面工程防滑技术规程》（JGJ/T 331）以及近年来因湿滑地面导致游客摔倒的投诉和事故案例。</w:t>
      </w:r>
    </w:p>
    <w:p w14:paraId="45AB8B2C">
      <w:pPr>
        <w:spacing w:line="560" w:lineRule="exact"/>
        <w:ind w:firstLine="640" w:firstLineChars="200"/>
        <w:rPr>
          <w:rFonts w:hint="eastAsia" w:eastAsia="仿宋_GB2312"/>
          <w:sz w:val="32"/>
          <w:szCs w:val="22"/>
        </w:rPr>
      </w:pPr>
      <w:r>
        <w:rPr>
          <w:rFonts w:hint="eastAsia" w:eastAsia="仿宋_GB2312"/>
          <w:sz w:val="32"/>
          <w:szCs w:val="22"/>
        </w:rPr>
        <w:t>3. 经营管理要求</w:t>
      </w:r>
    </w:p>
    <w:p w14:paraId="64262B3E">
      <w:pPr>
        <w:spacing w:line="560" w:lineRule="exact"/>
        <w:ind w:firstLine="640" w:firstLineChars="200"/>
        <w:rPr>
          <w:rFonts w:eastAsia="仿宋_GB2312"/>
          <w:sz w:val="32"/>
          <w:szCs w:val="22"/>
        </w:rPr>
      </w:pPr>
      <w:r>
        <w:rPr>
          <w:rFonts w:hint="eastAsia" w:eastAsia="仿宋_GB2312"/>
          <w:sz w:val="32"/>
          <w:szCs w:val="22"/>
        </w:rPr>
        <w:t>管理制度涵盖安全、服务、应急、人员、设施、环保等六类，依据《安全生产法》《旅游法》《个人信息保护法》以及ISO 9001质量管理体系理念。台账管理制度要求记录飞行计划、气象信息、任务日志、检查记录、游客信息、安全事件等，且留存不少于3年，依据为民航局《通用航空安全运行管理规定》和《消费者权益保护法》关于消费者信息保存期限的规定。</w:t>
      </w:r>
    </w:p>
    <w:p w14:paraId="22F4D8C6">
      <w:pPr>
        <w:spacing w:line="560" w:lineRule="exact"/>
        <w:ind w:firstLine="640" w:firstLineChars="200"/>
        <w:rPr>
          <w:rFonts w:eastAsia="仿宋_GB2312"/>
          <w:sz w:val="32"/>
          <w:szCs w:val="22"/>
        </w:rPr>
      </w:pPr>
      <w:r>
        <w:rPr>
          <w:rFonts w:hint="eastAsia" w:eastAsia="仿宋_GB2312"/>
          <w:sz w:val="32"/>
          <w:szCs w:val="22"/>
        </w:rPr>
        <w:t>统一公示内容的要求，依据《消费者权益保护法》第八条、第九条关于消费者知情权和自主选择权的规定。保险条款将“宜投保”表述与“建议额度”相结合（第三者责任险每座不低于60万元，机身险不低于评估价值），参考了国内主要通用航空企业现行投保水平及行业风险数据分析，60万元为行业内普遍接受的单座最低保额。</w:t>
      </w:r>
    </w:p>
    <w:p w14:paraId="252A7619">
      <w:pPr>
        <w:spacing w:line="560" w:lineRule="exact"/>
        <w:ind w:firstLine="640" w:firstLineChars="200"/>
        <w:rPr>
          <w:rFonts w:eastAsia="仿宋_GB2312"/>
          <w:sz w:val="32"/>
          <w:szCs w:val="22"/>
        </w:rPr>
      </w:pPr>
      <w:r>
        <w:rPr>
          <w:rFonts w:hint="eastAsia" w:eastAsia="仿宋_GB2312"/>
          <w:sz w:val="32"/>
          <w:szCs w:val="22"/>
        </w:rPr>
        <w:t>游客信息保护制度依据《个人信息保护法》关于敏感个人信息处理的规则，要求未经游客本人书面同意不得泄露。</w:t>
      </w:r>
    </w:p>
    <w:p w14:paraId="69015606">
      <w:pPr>
        <w:spacing w:line="560" w:lineRule="exact"/>
        <w:ind w:firstLine="640" w:firstLineChars="200"/>
        <w:rPr>
          <w:rFonts w:hint="eastAsia" w:eastAsia="仿宋_GB2312"/>
          <w:sz w:val="32"/>
          <w:szCs w:val="22"/>
        </w:rPr>
      </w:pPr>
      <w:r>
        <w:rPr>
          <w:rFonts w:hint="eastAsia" w:eastAsia="仿宋_GB2312"/>
          <w:sz w:val="32"/>
          <w:szCs w:val="22"/>
        </w:rPr>
        <w:t>4. 服务设备与设施</w:t>
      </w:r>
    </w:p>
    <w:p w14:paraId="181B922C">
      <w:pPr>
        <w:spacing w:line="560" w:lineRule="exact"/>
        <w:ind w:firstLine="640" w:firstLineChars="200"/>
        <w:rPr>
          <w:rFonts w:eastAsia="仿宋_GB2312"/>
          <w:sz w:val="32"/>
          <w:szCs w:val="22"/>
        </w:rPr>
      </w:pPr>
      <w:r>
        <w:rPr>
          <w:rFonts w:hint="eastAsia" w:eastAsia="仿宋_GB2312"/>
          <w:sz w:val="32"/>
          <w:szCs w:val="22"/>
        </w:rPr>
        <w:t>地面服务设施要求包括起降坪、机库、停机坪、滑行道等，依据CCAR-91中关于起降场设施的最低要求。候机区安全隔离设施要求，参考民航局《民用机场运行安全管理规定》（CCAR-140）中关于陆空隔离的规定。</w:t>
      </w:r>
    </w:p>
    <w:p w14:paraId="070E0662">
      <w:pPr>
        <w:spacing w:line="560" w:lineRule="exact"/>
        <w:ind w:firstLine="640" w:firstLineChars="200"/>
        <w:rPr>
          <w:rFonts w:eastAsia="仿宋_GB2312"/>
          <w:color w:val="0000FF"/>
          <w:sz w:val="32"/>
          <w:szCs w:val="22"/>
          <w:highlight w:val="yellow"/>
        </w:rPr>
      </w:pPr>
      <w:r>
        <w:rPr>
          <w:rFonts w:hint="eastAsia" w:eastAsia="仿宋_GB2312"/>
          <w:sz w:val="32"/>
          <w:szCs w:val="22"/>
        </w:rPr>
        <w:t>低空航空器安全设备要求包括安全带、救生衣、应急定位发射器、漂浮装置等，依据《空中游览》咨询通告（AC-91-FS-2018-33R2）第8.5条“水上飞行特殊要求”。海</w:t>
      </w:r>
      <w:r>
        <w:rPr>
          <w:rFonts w:hint="eastAsia" w:eastAsia="仿宋_GB2312"/>
          <w:color w:val="000000" w:themeColor="text1"/>
          <w:sz w:val="32"/>
          <w:szCs w:val="22"/>
          <w:highlight w:val="none"/>
          <w14:textFill>
            <w14:solidFill>
              <w14:schemeClr w14:val="tx1"/>
            </w14:solidFill>
          </w14:textFill>
        </w:rPr>
        <w:t>上环境下防腐蚀处理、盐雾防护检测等要求，依据运营企业维护记录——未经防腐蚀处理的航空器在海滨环境下平均检修周期缩短约40%。</w:t>
      </w:r>
    </w:p>
    <w:p w14:paraId="659DE17C">
      <w:pPr>
        <w:spacing w:line="560" w:lineRule="exact"/>
        <w:ind w:firstLine="640" w:firstLineChars="200"/>
        <w:rPr>
          <w:rFonts w:eastAsia="仿宋_GB2312"/>
          <w:sz w:val="32"/>
          <w:szCs w:val="22"/>
        </w:rPr>
      </w:pPr>
      <w:r>
        <w:rPr>
          <w:rFonts w:hint="eastAsia" w:eastAsia="仿宋_GB2312"/>
          <w:sz w:val="32"/>
          <w:szCs w:val="22"/>
        </w:rPr>
        <w:t>通信导航与监控设施要求运行控制中心具备实时监控、双向通信、气象显示、联动通信等功能，依据CCAR-91第91.403条关于飞行设施和气象信息的要求。接入监管服务平台的要求，依据地方低空经济管理试点政策及智慧旅游平台建设要求。</w:t>
      </w:r>
    </w:p>
    <w:p w14:paraId="590B9D99">
      <w:pPr>
        <w:spacing w:line="560" w:lineRule="exact"/>
        <w:ind w:firstLine="640" w:firstLineChars="200"/>
        <w:rPr>
          <w:rFonts w:eastAsia="仿宋_GB2312"/>
          <w:sz w:val="32"/>
          <w:szCs w:val="22"/>
        </w:rPr>
      </w:pPr>
      <w:r>
        <w:rPr>
          <w:rFonts w:hint="eastAsia" w:eastAsia="仿宋_GB2312"/>
          <w:sz w:val="32"/>
          <w:szCs w:val="22"/>
        </w:rPr>
        <w:t>安全应急设施包括急救箱、灭火器材、海上救生设备、应急照明、应急电源等，依据《安全生产法》第三十九条和《海上搜救应急预案》相关规定。海上应急救援快速响应机制及联动协议要求，依据《国家海上搜救应急预案》及沿海省份海上搜救联动机制建设要求。</w:t>
      </w:r>
    </w:p>
    <w:p w14:paraId="2DA9E135">
      <w:pPr>
        <w:spacing w:line="560" w:lineRule="exact"/>
        <w:ind w:firstLine="640" w:firstLineChars="200"/>
        <w:rPr>
          <w:rFonts w:hint="eastAsia" w:eastAsia="仿宋_GB2312"/>
          <w:sz w:val="32"/>
          <w:szCs w:val="22"/>
        </w:rPr>
      </w:pPr>
      <w:r>
        <w:rPr>
          <w:rFonts w:hint="eastAsia" w:eastAsia="仿宋_GB2312"/>
          <w:sz w:val="32"/>
          <w:szCs w:val="22"/>
        </w:rPr>
        <w:t>5. 服务人员</w:t>
      </w:r>
    </w:p>
    <w:p w14:paraId="2939952E">
      <w:pPr>
        <w:spacing w:line="560" w:lineRule="exact"/>
        <w:ind w:firstLine="640" w:firstLineChars="200"/>
        <w:rPr>
          <w:rFonts w:eastAsia="仿宋_GB2312"/>
          <w:sz w:val="32"/>
          <w:szCs w:val="22"/>
        </w:rPr>
      </w:pPr>
      <w:r>
        <w:rPr>
          <w:rFonts w:hint="eastAsia" w:eastAsia="仿宋_GB2312"/>
          <w:sz w:val="32"/>
          <w:szCs w:val="22"/>
        </w:rPr>
        <w:t>岗位资质要求飞行驾驶员、维修人员、地面服务人员、安全管理人员、海上救援人员分别持证，依据CCAR-61《民用航空器驾驶员合格审定规则》、CCAR-66《民用航空器维修人员执照管理规则》、民航局《航空安全员合格审定规则》以及《船员培训管理规则》（涉及海上救援技能）。</w:t>
      </w:r>
    </w:p>
    <w:p w14:paraId="6B0F5D86">
      <w:pPr>
        <w:spacing w:line="560" w:lineRule="exact"/>
        <w:ind w:firstLine="640" w:firstLineChars="200"/>
        <w:rPr>
          <w:rFonts w:eastAsia="仿宋_GB2312"/>
          <w:sz w:val="32"/>
          <w:szCs w:val="22"/>
        </w:rPr>
      </w:pPr>
      <w:r>
        <w:rPr>
          <w:rFonts w:hint="eastAsia" w:eastAsia="仿宋_GB2312"/>
          <w:sz w:val="32"/>
          <w:szCs w:val="22"/>
        </w:rPr>
        <w:t>知识技能中，要求飞行驾驶员熟悉海岸带海域气象特点、海陆风变化、滨海复杂地形，依据为大连地区气象统计数据和历年低空飞行事故分析——海陆风突变是海岸带低空飞行最主要的气象风险来源。要求讲解服务人员熟悉海岸带自然和人文景观，依据旅游行业标准《导游服务规范》（GB/T 15971）对导游讲解内容的要求。</w:t>
      </w:r>
    </w:p>
    <w:p w14:paraId="25044565">
      <w:pPr>
        <w:spacing w:line="560" w:lineRule="exact"/>
        <w:ind w:firstLine="640" w:firstLineChars="200"/>
        <w:rPr>
          <w:rFonts w:eastAsia="仿宋_GB2312"/>
          <w:sz w:val="32"/>
          <w:szCs w:val="22"/>
        </w:rPr>
      </w:pPr>
      <w:r>
        <w:rPr>
          <w:rFonts w:hint="eastAsia" w:eastAsia="仿宋_GB2312"/>
          <w:sz w:val="32"/>
          <w:szCs w:val="22"/>
        </w:rPr>
        <w:t>服务礼仪与行为规范参照《旅游服务质量 通则》（GB/T 16767）及《饭店服务礼仪规范》，同时结合民航客舱服务惯例。健康与安全管理要求健康证明、酒精检测、心理关怀，依据《食品安全法》（健康证明）、《民用航空人员体检合格证管理规则》（酒精检测）以及行业心理健康最佳实践。</w:t>
      </w:r>
    </w:p>
    <w:p w14:paraId="2FE6E90B">
      <w:pPr>
        <w:spacing w:line="560" w:lineRule="exact"/>
        <w:ind w:firstLine="640" w:firstLineChars="200"/>
        <w:rPr>
          <w:rFonts w:hint="eastAsia" w:eastAsia="仿宋_GB2312"/>
          <w:sz w:val="32"/>
          <w:szCs w:val="22"/>
        </w:rPr>
      </w:pPr>
      <w:r>
        <w:rPr>
          <w:rFonts w:hint="eastAsia" w:eastAsia="仿宋_GB2312"/>
          <w:sz w:val="32"/>
          <w:szCs w:val="22"/>
        </w:rPr>
        <w:t>6. 服务流程</w:t>
      </w:r>
    </w:p>
    <w:p w14:paraId="7FC023E6">
      <w:pPr>
        <w:spacing w:line="560" w:lineRule="exact"/>
        <w:ind w:firstLine="640" w:firstLineChars="200"/>
        <w:rPr>
          <w:rFonts w:eastAsia="仿宋_GB2312"/>
          <w:sz w:val="32"/>
          <w:szCs w:val="22"/>
        </w:rPr>
      </w:pPr>
      <w:r>
        <w:rPr>
          <w:rFonts w:hint="eastAsia" w:eastAsia="仿宋_GB2312"/>
          <w:sz w:val="32"/>
          <w:szCs w:val="22"/>
        </w:rPr>
        <w:t>信息发布与咨询服务要求公示经营资质、服务项目、收费标准、乘机条件、安全须知等，依据《消费者权益保护法》及《电子商务法》关于信息真实完整的规定。</w:t>
      </w:r>
    </w:p>
    <w:p w14:paraId="4B6E5E1A">
      <w:pPr>
        <w:spacing w:line="560" w:lineRule="exact"/>
        <w:ind w:firstLine="640" w:firstLineChars="200"/>
        <w:rPr>
          <w:rFonts w:eastAsia="仿宋_GB2312"/>
          <w:sz w:val="32"/>
          <w:szCs w:val="22"/>
        </w:rPr>
      </w:pPr>
      <w:r>
        <w:rPr>
          <w:rFonts w:hint="eastAsia" w:eastAsia="仿宋_GB2312"/>
          <w:sz w:val="32"/>
          <w:szCs w:val="22"/>
        </w:rPr>
        <w:t>预约与销售服务要求多元化预订渠道、如实告知限制条件、登记必要信息、不可抗力免费改期或退款，依据《旅游法》第六十七条关于合同解除的规定。体重信息登记和超重处理要求，依据航空器重量与平衡控制原则（CCAR-91第91.307条）及运营企业实际配载经验——超重可能导致重心偏离安全范围。</w:t>
      </w:r>
    </w:p>
    <w:p w14:paraId="45D6B932">
      <w:pPr>
        <w:spacing w:line="560" w:lineRule="exact"/>
        <w:ind w:firstLine="640" w:firstLineChars="200"/>
        <w:rPr>
          <w:rFonts w:eastAsia="仿宋_GB2312"/>
          <w:sz w:val="32"/>
          <w:szCs w:val="22"/>
        </w:rPr>
      </w:pPr>
      <w:r>
        <w:rPr>
          <w:rFonts w:hint="eastAsia" w:eastAsia="仿宋_GB2312"/>
          <w:sz w:val="32"/>
          <w:szCs w:val="22"/>
        </w:rPr>
        <w:t>接待服务要求身份核对、危险品检查、体重称量、安全装备指导、起飞前最后检查，依据民航局《民用航空安全检查规则》及通用航空运行规范。</w:t>
      </w:r>
    </w:p>
    <w:p w14:paraId="5BF4B6C8">
      <w:pPr>
        <w:spacing w:line="560" w:lineRule="exact"/>
        <w:ind w:firstLine="640" w:firstLineChars="200"/>
        <w:rPr>
          <w:rFonts w:eastAsia="仿宋_GB2312"/>
          <w:sz w:val="32"/>
          <w:szCs w:val="22"/>
        </w:rPr>
      </w:pPr>
      <w:r>
        <w:rPr>
          <w:rFonts w:hint="eastAsia" w:eastAsia="仿宋_GB2312"/>
          <w:sz w:val="32"/>
          <w:szCs w:val="22"/>
        </w:rPr>
        <w:t>飞行前讲解服务要求包含飞行器构造、安全带使用、应急措施、游览路线、注意事项、晕机应对、海上求生等内容，依据《空中游览》咨询通告第8.3条“乘客安全讲解”要求，并结合海岸带特殊风险进行了扩展。</w:t>
      </w:r>
    </w:p>
    <w:p w14:paraId="7D665DC7">
      <w:pPr>
        <w:spacing w:line="560" w:lineRule="exact"/>
        <w:ind w:firstLine="640" w:firstLineChars="200"/>
        <w:rPr>
          <w:rFonts w:eastAsia="仿宋_GB2312"/>
          <w:sz w:val="32"/>
          <w:szCs w:val="22"/>
        </w:rPr>
      </w:pPr>
      <w:r>
        <w:rPr>
          <w:rFonts w:hint="eastAsia" w:eastAsia="仿宋_GB2312"/>
          <w:sz w:val="32"/>
          <w:szCs w:val="22"/>
        </w:rPr>
        <w:t>飞行游览服务要求按计划航线飞行、保持通信、关注气象和状态、提供空中讲解，依据CCAR-91第91.115条“遵守空中交通管制”及第91.405条“飞行机组成员职责”。</w:t>
      </w:r>
    </w:p>
    <w:p w14:paraId="3FDF48F0">
      <w:pPr>
        <w:spacing w:line="560" w:lineRule="exact"/>
        <w:ind w:firstLine="640" w:firstLineChars="200"/>
        <w:rPr>
          <w:rFonts w:eastAsia="仿宋_GB2312"/>
          <w:sz w:val="32"/>
          <w:szCs w:val="22"/>
        </w:rPr>
      </w:pPr>
      <w:r>
        <w:rPr>
          <w:rFonts w:hint="eastAsia" w:eastAsia="仿宋_GB2312"/>
          <w:sz w:val="32"/>
          <w:szCs w:val="22"/>
        </w:rPr>
        <w:t>飞行后服务要求有序离机、收集意见、整理日志，依据航空服务惯例和质量管理持续改进要求。</w:t>
      </w:r>
    </w:p>
    <w:p w14:paraId="73FDFCB2">
      <w:pPr>
        <w:spacing w:line="560" w:lineRule="exact"/>
        <w:ind w:firstLine="640" w:firstLineChars="200"/>
        <w:rPr>
          <w:rFonts w:hint="eastAsia" w:eastAsia="仿宋_GB2312"/>
          <w:sz w:val="32"/>
          <w:szCs w:val="22"/>
        </w:rPr>
      </w:pPr>
      <w:r>
        <w:rPr>
          <w:rFonts w:hint="eastAsia" w:eastAsia="仿宋_GB2312"/>
          <w:sz w:val="32"/>
          <w:szCs w:val="22"/>
        </w:rPr>
        <w:t>7. 服务安全与应急管理</w:t>
      </w:r>
    </w:p>
    <w:p w14:paraId="73CA8316">
      <w:pPr>
        <w:spacing w:line="560" w:lineRule="exact"/>
        <w:ind w:firstLine="640" w:firstLineChars="200"/>
        <w:rPr>
          <w:rFonts w:eastAsia="仿宋_GB2312"/>
          <w:sz w:val="32"/>
          <w:szCs w:val="22"/>
        </w:rPr>
      </w:pPr>
      <w:r>
        <w:rPr>
          <w:rFonts w:hint="eastAsia" w:eastAsia="仿宋_GB2312"/>
          <w:sz w:val="32"/>
          <w:szCs w:val="22"/>
        </w:rPr>
        <w:t>日常安全管控中明确禁飞/限飞气象条件（大风、暴雨、浓雾、雷电、强对流），依据为民航局《航空器驾驶员指南》中关于目视飞行规则气象条件的最低标准，并结合海岸带多雾特点进行了细化。三级安全隐患排查机制（每日自查、每周排查、每月综合检查），依据《安全生产事故隐患排查治理暂行规定》（安监总局令第16号）及民航安全管理系统（SMS）实践。</w:t>
      </w:r>
    </w:p>
    <w:p w14:paraId="0150F155">
      <w:pPr>
        <w:spacing w:line="560" w:lineRule="exact"/>
        <w:ind w:firstLine="640" w:firstLineChars="200"/>
        <w:rPr>
          <w:rFonts w:eastAsia="仿宋_GB2312"/>
          <w:sz w:val="32"/>
          <w:szCs w:val="22"/>
        </w:rPr>
      </w:pPr>
      <w:r>
        <w:rPr>
          <w:rFonts w:hint="eastAsia" w:eastAsia="仿宋_GB2312"/>
          <w:sz w:val="32"/>
          <w:szCs w:val="22"/>
        </w:rPr>
        <w:t>应急预案包括飞行器故障、紧急迫降、海上迫降、恶劣天气、突发疾病、火灾等六类，依据《突发事件应对法》《国家突发公共事件总体应急预案》及《民用航空器事故应急反应和事故调查程序》。应急演练要求每年1次综合演练、2次专项演练，参考民航局《民用运输机场应急救援演练规范》及行业平均执行能力。</w:t>
      </w:r>
    </w:p>
    <w:p w14:paraId="55C562F6">
      <w:pPr>
        <w:spacing w:line="560" w:lineRule="exact"/>
        <w:ind w:firstLine="640" w:firstLineChars="200"/>
        <w:rPr>
          <w:rFonts w:eastAsia="仿宋_GB2312"/>
          <w:sz w:val="32"/>
          <w:szCs w:val="22"/>
        </w:rPr>
      </w:pPr>
      <w:r>
        <w:rPr>
          <w:rFonts w:hint="eastAsia" w:eastAsia="仿宋_GB2312"/>
          <w:sz w:val="32"/>
          <w:szCs w:val="22"/>
        </w:rPr>
        <w:t>突发事件处置要求优先保障人员生命安全、及时上报、善后处置，依据《生产安全事故报告和调查处理条例》及民航局事故报告时限规定。</w:t>
      </w:r>
    </w:p>
    <w:p w14:paraId="10725332">
      <w:pPr>
        <w:spacing w:line="560" w:lineRule="exact"/>
        <w:ind w:firstLine="640" w:firstLineChars="200"/>
        <w:rPr>
          <w:rFonts w:hint="eastAsia" w:eastAsia="仿宋_GB2312"/>
          <w:sz w:val="32"/>
          <w:szCs w:val="22"/>
        </w:rPr>
      </w:pPr>
      <w:r>
        <w:rPr>
          <w:rFonts w:hint="eastAsia" w:eastAsia="仿宋_GB2312"/>
          <w:sz w:val="32"/>
          <w:szCs w:val="22"/>
        </w:rPr>
        <w:t>8. 服务质量评价与改进</w:t>
      </w:r>
    </w:p>
    <w:p w14:paraId="2F60D687">
      <w:pPr>
        <w:spacing w:line="560" w:lineRule="exact"/>
        <w:ind w:firstLine="640" w:firstLineChars="200"/>
        <w:rPr>
          <w:rFonts w:eastAsia="仿宋_GB2312"/>
          <w:sz w:val="32"/>
          <w:szCs w:val="22"/>
        </w:rPr>
      </w:pPr>
      <w:r>
        <w:rPr>
          <w:rFonts w:hint="eastAsia" w:eastAsia="仿宋_GB2312"/>
          <w:sz w:val="32"/>
          <w:szCs w:val="22"/>
        </w:rPr>
        <w:t>评价内容包括资质合规性、飞行安全、设施条件、人员水平、投诉处理、游客满意度等六个维度，参照GB/T 19001《质量管理体系 要求》第9章“绩效评价”及GB/T 36733《服务质量评价通则》。评价方式采用问卷、线上评价、回访、自查、第三方抽检等，借鉴旅游行业星级评定和民航满意度调查方法。</w:t>
      </w:r>
    </w:p>
    <w:p w14:paraId="36C16159">
      <w:pPr>
        <w:spacing w:line="560" w:lineRule="exact"/>
        <w:ind w:firstLine="640" w:firstLineChars="200"/>
        <w:rPr>
          <w:rFonts w:eastAsia="仿宋_GB2312"/>
          <w:sz w:val="32"/>
          <w:szCs w:val="22"/>
        </w:rPr>
      </w:pPr>
      <w:r>
        <w:rPr>
          <w:rFonts w:hint="eastAsia" w:eastAsia="仿宋_GB2312"/>
          <w:sz w:val="32"/>
          <w:szCs w:val="22"/>
        </w:rPr>
        <w:t>投诉处理要求24小时内联系、一般5个工作日办结、复杂15个工作日办结，依据《旅游投诉处理办法》（国家旅游局令第32号）及《消费者协会受理消费者投诉工作导则》。持续改进要求定期分析数据、制定措施、覆盖全环节，体现PDCA循环管理思想。</w:t>
      </w:r>
    </w:p>
    <w:p w14:paraId="33C067C7">
      <w:pPr>
        <w:spacing w:line="560" w:lineRule="exact"/>
        <w:ind w:firstLine="640" w:firstLineChars="200"/>
        <w:rPr>
          <w:rFonts w:hint="eastAsia" w:eastAsia="仿宋_GB2312"/>
          <w:sz w:val="32"/>
          <w:szCs w:val="22"/>
        </w:rPr>
      </w:pPr>
      <w:r>
        <w:rPr>
          <w:rFonts w:hint="eastAsia" w:eastAsia="仿宋_GB2312"/>
          <w:sz w:val="32"/>
          <w:szCs w:val="22"/>
        </w:rPr>
        <w:t>9. 无障碍设施</w:t>
      </w:r>
    </w:p>
    <w:p w14:paraId="5489F84B">
      <w:pPr>
        <w:spacing w:line="560" w:lineRule="exact"/>
        <w:ind w:firstLine="640" w:firstLineChars="200"/>
        <w:rPr>
          <w:rFonts w:eastAsia="仿宋_GB2312"/>
          <w:sz w:val="32"/>
          <w:szCs w:val="22"/>
        </w:rPr>
      </w:pPr>
      <w:r>
        <w:rPr>
          <w:rFonts w:hint="eastAsia" w:eastAsia="仿宋_GB2312"/>
          <w:sz w:val="32"/>
          <w:szCs w:val="22"/>
        </w:rPr>
        <w:t>单独设置的无障碍设施条款要求起降场地和游客服务中心设置无障碍通道、无障碍卫生间及轮椅存放区，依据《无障碍环境建设条例》及GB 50763《无障碍设计规范》第3.2节“无障碍通道”、第3.4节“无障碍卫生间”等规定。</w:t>
      </w:r>
    </w:p>
    <w:p w14:paraId="4C072EEF">
      <w:pPr>
        <w:spacing w:line="560" w:lineRule="exact"/>
        <w:ind w:firstLine="640" w:firstLineChars="200"/>
        <w:rPr>
          <w:rFonts w:hint="eastAsia" w:eastAsia="仿宋_GB2312"/>
          <w:sz w:val="32"/>
          <w:szCs w:val="22"/>
        </w:rPr>
      </w:pPr>
      <w:r>
        <w:rPr>
          <w:rFonts w:hint="eastAsia" w:eastAsia="仿宋_GB2312"/>
          <w:sz w:val="32"/>
          <w:szCs w:val="22"/>
        </w:rPr>
        <w:t>10. 环保与生态要求</w:t>
      </w:r>
    </w:p>
    <w:p w14:paraId="68FE5884">
      <w:pPr>
        <w:spacing w:line="560" w:lineRule="exact"/>
        <w:ind w:firstLine="640" w:firstLineChars="200"/>
        <w:rPr>
          <w:rFonts w:eastAsia="仿宋_GB2312"/>
          <w:sz w:val="32"/>
          <w:szCs w:val="22"/>
        </w:rPr>
      </w:pPr>
      <w:r>
        <w:rPr>
          <w:rFonts w:hint="eastAsia" w:eastAsia="仿宋_GB2312"/>
          <w:sz w:val="32"/>
          <w:szCs w:val="22"/>
        </w:rPr>
        <w:t xml:space="preserve">要求减少噪声对滨海生态环境的影响，避免在鸟类繁殖季节靠近敏感栖息地飞行，依据《中华人民共和国环境保护法》《中华人民共和国野生动物保护法》及地方自然保护区管理规定。此项内容参考了大连市自然资源局关于海岛鸟类栖息地保护的专家意见。。 </w:t>
      </w:r>
    </w:p>
    <w:p w14:paraId="379C8872">
      <w:pPr>
        <w:ind w:firstLine="627" w:firstLineChars="196"/>
        <w:rPr>
          <w:rFonts w:eastAsia="黑体"/>
          <w:sz w:val="32"/>
          <w:szCs w:val="32"/>
        </w:rPr>
      </w:pPr>
      <w:r>
        <w:rPr>
          <w:rFonts w:eastAsia="黑体"/>
          <w:sz w:val="32"/>
          <w:szCs w:val="32"/>
        </w:rPr>
        <w:t>四、主要试验（或验证）的分析、综述报告</w:t>
      </w:r>
    </w:p>
    <w:p w14:paraId="1FFEC976">
      <w:pPr>
        <w:spacing w:line="560" w:lineRule="exact"/>
        <w:ind w:firstLine="640" w:firstLineChars="200"/>
        <w:rPr>
          <w:rFonts w:eastAsia="仿宋_GB2312"/>
          <w:sz w:val="32"/>
          <w:szCs w:val="22"/>
        </w:rPr>
      </w:pPr>
      <w:r>
        <w:rPr>
          <w:rFonts w:hint="eastAsia" w:eastAsia="仿宋_GB2312"/>
          <w:sz w:val="32"/>
          <w:szCs w:val="22"/>
        </w:rPr>
        <w:t>本标准为服务管理类标准，不涉及理化指标或产品性能的实验室试验。为确保标准技术内容的科学性、合理性和可操作性，编制组采用了“实地调研验证+标准比对验证”</w:t>
      </w:r>
      <w:r>
        <w:rPr>
          <w:rFonts w:hint="eastAsia" w:eastAsia="仿宋_GB2312"/>
          <w:sz w:val="32"/>
          <w:szCs w:val="22"/>
          <w:lang w:val="en-US" w:eastAsia="zh-CN"/>
        </w:rPr>
        <w:t>两</w:t>
      </w:r>
      <w:r>
        <w:rPr>
          <w:rFonts w:hint="eastAsia" w:eastAsia="仿宋_GB2312"/>
          <w:sz w:val="32"/>
          <w:szCs w:val="22"/>
        </w:rPr>
        <w:t>位一体的验证方法</w:t>
      </w:r>
      <w:r>
        <w:rPr>
          <w:rFonts w:hint="eastAsia" w:eastAsia="仿宋_GB2312"/>
          <w:sz w:val="32"/>
          <w:szCs w:val="22"/>
          <w:lang w:eastAsia="zh-CN"/>
        </w:rPr>
        <w:t>，</w:t>
      </w:r>
      <w:r>
        <w:rPr>
          <w:rFonts w:hint="eastAsia" w:eastAsia="仿宋_GB2312"/>
          <w:sz w:val="32"/>
          <w:szCs w:val="22"/>
        </w:rPr>
        <w:t>以下逐一说明。</w:t>
      </w:r>
    </w:p>
    <w:p w14:paraId="0C836912">
      <w:pPr>
        <w:spacing w:line="560" w:lineRule="exact"/>
        <w:ind w:firstLine="640" w:firstLineChars="200"/>
        <w:rPr>
          <w:rFonts w:hint="eastAsia" w:eastAsia="仿宋_GB2312"/>
          <w:sz w:val="32"/>
          <w:szCs w:val="22"/>
        </w:rPr>
      </w:pPr>
      <w:r>
        <w:rPr>
          <w:rFonts w:hint="eastAsia" w:eastAsia="仿宋_GB2312"/>
          <w:sz w:val="32"/>
          <w:szCs w:val="22"/>
        </w:rPr>
        <w:t>（一）实地调研验证</w:t>
      </w:r>
    </w:p>
    <w:p w14:paraId="67482C73">
      <w:pPr>
        <w:spacing w:line="560" w:lineRule="exact"/>
        <w:ind w:firstLine="640" w:firstLineChars="200"/>
        <w:rPr>
          <w:rFonts w:eastAsia="仿宋_GB2312"/>
          <w:sz w:val="32"/>
          <w:szCs w:val="22"/>
        </w:rPr>
      </w:pPr>
      <w:r>
        <w:rPr>
          <w:rFonts w:hint="eastAsia" w:eastAsia="仿宋_GB2312"/>
          <w:sz w:val="32"/>
          <w:szCs w:val="22"/>
        </w:rPr>
        <w:t>编制组于2026年3月至4月期间，对大连市具有代表性的低空观光运营企业（大连欧亚直升机有限公司）进行了实地调研。调研内容包括：起降场选址与分区情况、游客接待全流程（预约—售票—安检—称重—讲解—登机—飞行—离机—送客）、安全应急设施配置（救生衣、应急漂浮系统、通信设备、急救箱等）、人员资质与培训记录、台账管理情况、投诉处理记录等。</w:t>
      </w:r>
    </w:p>
    <w:p w14:paraId="25A36F08">
      <w:pPr>
        <w:spacing w:line="560" w:lineRule="exact"/>
        <w:ind w:firstLine="640" w:firstLineChars="200"/>
        <w:rPr>
          <w:rFonts w:eastAsia="仿宋_GB2312"/>
          <w:sz w:val="32"/>
          <w:szCs w:val="22"/>
        </w:rPr>
      </w:pPr>
      <w:r>
        <w:rPr>
          <w:rFonts w:hint="eastAsia" w:eastAsia="仿宋_GB2312"/>
          <w:sz w:val="32"/>
          <w:szCs w:val="22"/>
        </w:rPr>
        <w:t>调研结果表明：</w:t>
      </w:r>
    </w:p>
    <w:p w14:paraId="0834E365">
      <w:pPr>
        <w:spacing w:line="560" w:lineRule="exact"/>
        <w:ind w:firstLine="640" w:firstLineChars="200"/>
        <w:rPr>
          <w:rFonts w:eastAsia="仿宋_GB2312"/>
          <w:sz w:val="32"/>
          <w:szCs w:val="22"/>
        </w:rPr>
      </w:pPr>
      <w:r>
        <w:rPr>
          <w:rFonts w:hint="eastAsia" w:eastAsia="仿宋_GB2312"/>
          <w:sz w:val="32"/>
          <w:szCs w:val="22"/>
        </w:rPr>
        <w:t>标准提出的场地分区要求（飞行器停放区、旅客等候区、安检区、登机区、应急疏散区）在现有起降场地中已基本实现，仅个别临时起降点存在分区标识不清的问题，可通过标准实施后整改解决。</w:t>
      </w:r>
    </w:p>
    <w:p w14:paraId="71D1A81E">
      <w:pPr>
        <w:spacing w:line="560" w:lineRule="exact"/>
        <w:ind w:firstLine="640" w:firstLineChars="200"/>
        <w:rPr>
          <w:rFonts w:eastAsia="仿宋_GB2312"/>
          <w:sz w:val="32"/>
          <w:szCs w:val="22"/>
        </w:rPr>
      </w:pPr>
      <w:r>
        <w:rPr>
          <w:rFonts w:hint="eastAsia" w:eastAsia="仿宋_GB2312"/>
          <w:sz w:val="32"/>
          <w:szCs w:val="22"/>
        </w:rPr>
        <w:t>安全讲解环节，现有运营企业普遍采用视频播放加现场演示的方式，但讲解内容深度和覆盖范围参差不齐。标准列出的七项讲解要点（飞行器构造、安全带使用、应急措施、游览路线、注意事项、晕机应对、海上求生）能够覆盖全部必要信息，企业反馈“可操作，不增加过多负担”。</w:t>
      </w:r>
    </w:p>
    <w:p w14:paraId="24D4291C">
      <w:pPr>
        <w:spacing w:line="560" w:lineRule="exact"/>
        <w:ind w:firstLine="640" w:firstLineChars="200"/>
        <w:rPr>
          <w:rFonts w:eastAsia="仿宋_GB2312"/>
          <w:sz w:val="32"/>
          <w:szCs w:val="22"/>
        </w:rPr>
      </w:pPr>
      <w:r>
        <w:rPr>
          <w:rFonts w:hint="eastAsia" w:eastAsia="仿宋_GB2312"/>
          <w:sz w:val="32"/>
          <w:szCs w:val="22"/>
        </w:rPr>
        <w:t>海上应急设备方面，现有企业均配备了救生衣和应急定位发射器，但应急漂浮系统并非全部配备。标准将“配备应急漂浮系统或浮筒”作为海上飞行运营场景的要求，企业表示在技术可行性和成本方面均可接受，且能显著提升海上迫降生存概率。</w:t>
      </w:r>
    </w:p>
    <w:p w14:paraId="1AC8FE4F">
      <w:pPr>
        <w:spacing w:line="560" w:lineRule="exact"/>
        <w:ind w:firstLine="640" w:firstLineChars="200"/>
        <w:rPr>
          <w:rFonts w:eastAsia="仿宋_GB2312"/>
          <w:sz w:val="32"/>
          <w:szCs w:val="22"/>
        </w:rPr>
      </w:pPr>
      <w:r>
        <w:rPr>
          <w:rFonts w:hint="eastAsia" w:eastAsia="仿宋_GB2312"/>
          <w:sz w:val="32"/>
          <w:szCs w:val="22"/>
        </w:rPr>
        <w:t>台账管理方面，现有企业记录项目基本齐全，但部分企业未按规范格式归档。标准明确的12类记录项目和3年保存期要求，企业认为“与现有做法基本一致，仅需补充个别项目”。</w:t>
      </w:r>
    </w:p>
    <w:p w14:paraId="072AC4DD">
      <w:pPr>
        <w:spacing w:line="560" w:lineRule="exact"/>
        <w:ind w:firstLine="640" w:firstLineChars="200"/>
        <w:rPr>
          <w:rFonts w:eastAsia="仿宋_GB2312"/>
          <w:sz w:val="32"/>
          <w:szCs w:val="22"/>
        </w:rPr>
      </w:pPr>
      <w:r>
        <w:rPr>
          <w:rFonts w:hint="eastAsia" w:eastAsia="仿宋_GB2312"/>
          <w:sz w:val="32"/>
          <w:szCs w:val="22"/>
        </w:rPr>
        <w:t>无障碍设施方面，现有企业普遍缺乏轮椅通道和无障碍卫生间。标准提出此要求后，一家企业表示将在下一个起降场改造中纳入设计，另一家企业认为可在现有场地基础上加装临时坡道，验证了该要求的可行性。</w:t>
      </w:r>
    </w:p>
    <w:p w14:paraId="4839054E">
      <w:pPr>
        <w:spacing w:line="560" w:lineRule="exact"/>
        <w:ind w:firstLine="640" w:firstLineChars="200"/>
        <w:rPr>
          <w:rFonts w:hint="eastAsia" w:eastAsia="仿宋_GB2312"/>
          <w:sz w:val="32"/>
          <w:szCs w:val="22"/>
        </w:rPr>
      </w:pPr>
      <w:r>
        <w:rPr>
          <w:rFonts w:hint="eastAsia" w:eastAsia="仿宋_GB2312"/>
          <w:sz w:val="32"/>
          <w:szCs w:val="22"/>
        </w:rPr>
        <w:t>（</w:t>
      </w:r>
      <w:r>
        <w:rPr>
          <w:rFonts w:hint="eastAsia" w:eastAsia="仿宋_GB2312"/>
          <w:sz w:val="32"/>
          <w:szCs w:val="22"/>
          <w:lang w:val="en-US" w:eastAsia="zh-CN"/>
        </w:rPr>
        <w:t>二</w:t>
      </w:r>
      <w:r>
        <w:rPr>
          <w:rFonts w:hint="eastAsia" w:eastAsia="仿宋_GB2312"/>
          <w:sz w:val="32"/>
          <w:szCs w:val="22"/>
        </w:rPr>
        <w:t>）与现行标准比对验证</w:t>
      </w:r>
    </w:p>
    <w:p w14:paraId="1E2F3332">
      <w:pPr>
        <w:spacing w:line="560" w:lineRule="exact"/>
        <w:ind w:firstLine="640" w:firstLineChars="200"/>
        <w:rPr>
          <w:rFonts w:eastAsia="仿宋_GB2312"/>
          <w:sz w:val="32"/>
          <w:szCs w:val="22"/>
        </w:rPr>
      </w:pPr>
      <w:r>
        <w:rPr>
          <w:rFonts w:hint="eastAsia" w:eastAsia="仿宋_GB2312"/>
          <w:sz w:val="32"/>
          <w:szCs w:val="22"/>
        </w:rPr>
        <w:t>编制组将本标准全部条款与以下现行标准进行了逐条比对：</w:t>
      </w:r>
    </w:p>
    <w:p w14:paraId="0DC14BDA">
      <w:pPr>
        <w:spacing w:line="560" w:lineRule="exact"/>
        <w:ind w:firstLine="640" w:firstLineChars="200"/>
        <w:rPr>
          <w:rFonts w:eastAsia="仿宋_GB2312"/>
          <w:sz w:val="32"/>
          <w:szCs w:val="22"/>
        </w:rPr>
      </w:pPr>
      <w:r>
        <w:rPr>
          <w:rFonts w:hint="eastAsia" w:eastAsia="仿宋_GB2312"/>
          <w:sz w:val="32"/>
          <w:szCs w:val="22"/>
        </w:rPr>
        <w:t>《民用航空法》《安全生产法》《旅游法》《个人信息保护法》</w:t>
      </w:r>
    </w:p>
    <w:p w14:paraId="2C73A443">
      <w:pPr>
        <w:spacing w:line="560" w:lineRule="exact"/>
        <w:ind w:firstLine="640" w:firstLineChars="200"/>
        <w:rPr>
          <w:rFonts w:eastAsia="仿宋_GB2312"/>
          <w:sz w:val="32"/>
          <w:szCs w:val="22"/>
        </w:rPr>
      </w:pPr>
      <w:r>
        <w:rPr>
          <w:rFonts w:hint="eastAsia" w:eastAsia="仿宋_GB2312"/>
          <w:sz w:val="32"/>
          <w:szCs w:val="22"/>
        </w:rPr>
        <w:t>CCAR-91、CCAR-135、CCAR-61、CCAR-66</w:t>
      </w:r>
    </w:p>
    <w:p w14:paraId="789E2B17">
      <w:pPr>
        <w:spacing w:line="560" w:lineRule="exact"/>
        <w:ind w:firstLine="640" w:firstLineChars="200"/>
        <w:rPr>
          <w:rFonts w:eastAsia="仿宋_GB2312"/>
          <w:sz w:val="32"/>
          <w:szCs w:val="22"/>
        </w:rPr>
      </w:pPr>
      <w:r>
        <w:rPr>
          <w:rFonts w:hint="eastAsia" w:eastAsia="仿宋_GB2312"/>
          <w:sz w:val="32"/>
          <w:szCs w:val="22"/>
        </w:rPr>
        <w:t>民航局《空中游览》咨询通告（AC-91-FS-2018-33R2）</w:t>
      </w:r>
    </w:p>
    <w:p w14:paraId="6F04F78F">
      <w:pPr>
        <w:spacing w:line="560" w:lineRule="exact"/>
        <w:ind w:firstLine="640" w:firstLineChars="200"/>
        <w:rPr>
          <w:rFonts w:eastAsia="仿宋_GB2312"/>
          <w:sz w:val="32"/>
          <w:szCs w:val="22"/>
        </w:rPr>
      </w:pPr>
      <w:r>
        <w:rPr>
          <w:rFonts w:hint="eastAsia" w:eastAsia="仿宋_GB2312"/>
          <w:sz w:val="32"/>
          <w:szCs w:val="22"/>
        </w:rPr>
        <w:t>GB/T 10001.1、GB/T 10001.2</w:t>
      </w:r>
    </w:p>
    <w:p w14:paraId="2C866441">
      <w:pPr>
        <w:spacing w:line="560" w:lineRule="exact"/>
        <w:ind w:firstLine="640" w:firstLineChars="200"/>
        <w:rPr>
          <w:rFonts w:eastAsia="仿宋_GB2312"/>
          <w:sz w:val="32"/>
          <w:szCs w:val="22"/>
        </w:rPr>
      </w:pPr>
      <w:r>
        <w:rPr>
          <w:rFonts w:hint="eastAsia" w:eastAsia="仿宋_GB2312"/>
          <w:sz w:val="32"/>
          <w:szCs w:val="22"/>
        </w:rPr>
        <w:t>GB/T 19001、GB/T 36733</w:t>
      </w:r>
    </w:p>
    <w:p w14:paraId="125E1D9F">
      <w:pPr>
        <w:spacing w:line="560" w:lineRule="exact"/>
        <w:ind w:firstLine="640" w:firstLineChars="200"/>
        <w:rPr>
          <w:rFonts w:eastAsia="仿宋_GB2312"/>
          <w:sz w:val="32"/>
          <w:szCs w:val="22"/>
        </w:rPr>
      </w:pPr>
      <w:r>
        <w:rPr>
          <w:rFonts w:hint="eastAsia" w:eastAsia="仿宋_GB2312"/>
          <w:sz w:val="32"/>
          <w:szCs w:val="22"/>
        </w:rPr>
        <w:t>GB 50763《无障碍设计规范》</w:t>
      </w:r>
    </w:p>
    <w:p w14:paraId="70D4C1BF">
      <w:pPr>
        <w:spacing w:line="560" w:lineRule="exact"/>
        <w:ind w:firstLine="640" w:firstLineChars="200"/>
        <w:rPr>
          <w:rFonts w:eastAsia="仿宋_GB2312"/>
          <w:sz w:val="32"/>
          <w:szCs w:val="22"/>
        </w:rPr>
      </w:pPr>
      <w:r>
        <w:rPr>
          <w:rFonts w:hint="eastAsia" w:eastAsia="仿宋_GB2312"/>
          <w:sz w:val="32"/>
          <w:szCs w:val="22"/>
        </w:rPr>
        <w:t>比对结果表明：</w:t>
      </w:r>
    </w:p>
    <w:p w14:paraId="4F7E9D5D">
      <w:pPr>
        <w:spacing w:line="560" w:lineRule="exact"/>
        <w:ind w:firstLine="640" w:firstLineChars="200"/>
        <w:rPr>
          <w:rFonts w:eastAsia="仿宋_GB2312"/>
          <w:sz w:val="32"/>
          <w:szCs w:val="22"/>
        </w:rPr>
      </w:pPr>
      <w:r>
        <w:rPr>
          <w:rFonts w:hint="eastAsia" w:eastAsia="仿宋_GB2312"/>
          <w:sz w:val="32"/>
          <w:szCs w:val="22"/>
        </w:rPr>
        <w:t>本标准所有安全相关条款均不低于法律、规章和咨询通告的最低要求。例如，关于飞行员资质、适航状态、空域使用等，本标准直接引用规章要求，未作降级或删减。</w:t>
      </w:r>
    </w:p>
    <w:p w14:paraId="7527B45F">
      <w:pPr>
        <w:spacing w:line="560" w:lineRule="exact"/>
        <w:ind w:firstLine="640" w:firstLineChars="200"/>
        <w:rPr>
          <w:rFonts w:eastAsia="仿宋_GB2312"/>
          <w:sz w:val="32"/>
          <w:szCs w:val="22"/>
        </w:rPr>
      </w:pPr>
      <w:r>
        <w:rPr>
          <w:rFonts w:hint="eastAsia" w:eastAsia="仿宋_GB2312"/>
          <w:sz w:val="32"/>
          <w:szCs w:val="22"/>
        </w:rPr>
        <w:t>本标准增加的滨海特殊要求（如盐雾防护、海上漂浮系统、海陆风气象监控等）均不违反上位法，且有实际安全需求支撑。</w:t>
      </w:r>
    </w:p>
    <w:p w14:paraId="15E8CAF5">
      <w:pPr>
        <w:spacing w:line="560" w:lineRule="exact"/>
        <w:ind w:firstLine="640" w:firstLineChars="200"/>
        <w:rPr>
          <w:rFonts w:eastAsia="仿宋_GB2312"/>
          <w:sz w:val="32"/>
          <w:szCs w:val="22"/>
        </w:rPr>
      </w:pPr>
      <w:r>
        <w:rPr>
          <w:rFonts w:hint="eastAsia" w:eastAsia="仿宋_GB2312"/>
          <w:sz w:val="32"/>
          <w:szCs w:val="22"/>
        </w:rPr>
        <w:t>本标准与GB/T 10001.1和GB/T 10001.2完全一致。</w:t>
      </w:r>
    </w:p>
    <w:p w14:paraId="1C4C531A">
      <w:pPr>
        <w:spacing w:line="560" w:lineRule="exact"/>
        <w:ind w:firstLine="640" w:firstLineChars="200"/>
        <w:rPr>
          <w:rFonts w:eastAsia="仿宋_GB2312"/>
          <w:sz w:val="32"/>
          <w:szCs w:val="22"/>
        </w:rPr>
      </w:pPr>
      <w:r>
        <w:rPr>
          <w:rFonts w:hint="eastAsia" w:eastAsia="仿宋_GB2312"/>
          <w:sz w:val="32"/>
          <w:szCs w:val="22"/>
        </w:rPr>
        <w:t>本标准与GB/T 19001在评价与改进理念上一致，但具体操作指标（如投诉处理时限、演练频次）比GB/T 19001更细化，属于深化而非冲突。</w:t>
      </w:r>
    </w:p>
    <w:p w14:paraId="77828FEE">
      <w:pPr>
        <w:spacing w:line="560" w:lineRule="exact"/>
        <w:ind w:firstLine="640" w:firstLineChars="200"/>
        <w:rPr>
          <w:rFonts w:eastAsia="仿宋_GB2312"/>
          <w:sz w:val="32"/>
          <w:szCs w:val="22"/>
        </w:rPr>
      </w:pPr>
      <w:r>
        <w:rPr>
          <w:rFonts w:hint="eastAsia" w:eastAsia="仿宋_GB2312"/>
          <w:sz w:val="32"/>
          <w:szCs w:val="22"/>
        </w:rPr>
        <w:t>无障碍设施要求与GB 50763协调一致，未提出超出该标准的要求。</w:t>
      </w:r>
    </w:p>
    <w:p w14:paraId="729DF391">
      <w:pPr>
        <w:ind w:firstLine="627" w:firstLineChars="196"/>
        <w:rPr>
          <w:rFonts w:eastAsia="黑体"/>
          <w:sz w:val="32"/>
          <w:szCs w:val="32"/>
        </w:rPr>
      </w:pPr>
      <w:r>
        <w:rPr>
          <w:rFonts w:eastAsia="黑体"/>
          <w:sz w:val="32"/>
          <w:szCs w:val="32"/>
        </w:rPr>
        <w:t>五、与现行有关法律、法规和国家标准、行业标准、地方标准的关系</w:t>
      </w:r>
    </w:p>
    <w:p w14:paraId="75BCA8AC">
      <w:pPr>
        <w:spacing w:line="560" w:lineRule="exact"/>
        <w:ind w:firstLine="640" w:firstLineChars="200"/>
        <w:rPr>
          <w:rFonts w:eastAsia="仿宋_GB2312"/>
          <w:sz w:val="32"/>
          <w:szCs w:val="22"/>
        </w:rPr>
      </w:pPr>
      <w:r>
        <w:rPr>
          <w:rFonts w:hint="eastAsia" w:eastAsia="仿宋_GB2312"/>
          <w:sz w:val="32"/>
          <w:szCs w:val="22"/>
        </w:rPr>
        <w:t>经检索，本标准与下列现行法律、法规、标准保持协调一致：</w:t>
      </w:r>
    </w:p>
    <w:p w14:paraId="49F1714F">
      <w:pPr>
        <w:spacing w:line="560" w:lineRule="exact"/>
        <w:ind w:firstLine="640" w:firstLineChars="200"/>
        <w:rPr>
          <w:rFonts w:eastAsia="仿宋_GB2312"/>
          <w:sz w:val="32"/>
          <w:szCs w:val="22"/>
        </w:rPr>
      </w:pPr>
      <w:r>
        <w:rPr>
          <w:rFonts w:hint="eastAsia" w:eastAsia="仿宋_GB2312"/>
          <w:sz w:val="32"/>
          <w:szCs w:val="22"/>
        </w:rPr>
        <w:t>法律：《中华人民共和国民用航空法》《中华人民共和国安全生产法》《中华人民共和国旅游法》《中华人民共和国消费者权益保护法》《中华人民共和国个人信息保护法》《中华人民共和国突发事件应对法》等。</w:t>
      </w:r>
    </w:p>
    <w:p w14:paraId="3B7A45D5">
      <w:pPr>
        <w:spacing w:line="560" w:lineRule="exact"/>
        <w:ind w:firstLine="640" w:firstLineChars="200"/>
        <w:rPr>
          <w:rFonts w:eastAsia="仿宋_GB2312"/>
          <w:sz w:val="32"/>
          <w:szCs w:val="22"/>
        </w:rPr>
      </w:pPr>
      <w:r>
        <w:rPr>
          <w:rFonts w:hint="eastAsia" w:eastAsia="仿宋_GB2312"/>
          <w:sz w:val="32"/>
          <w:szCs w:val="22"/>
        </w:rPr>
        <w:t>行政法规：《通用航空经营许可管理规定》（交通运输部令2020年第12号）、《民用航空器适航管理条例》等。</w:t>
      </w:r>
    </w:p>
    <w:p w14:paraId="0FC1F3F6">
      <w:pPr>
        <w:spacing w:line="560" w:lineRule="exact"/>
        <w:ind w:firstLine="640" w:firstLineChars="200"/>
        <w:rPr>
          <w:rFonts w:eastAsia="仿宋_GB2312"/>
          <w:sz w:val="32"/>
          <w:szCs w:val="22"/>
        </w:rPr>
      </w:pPr>
      <w:r>
        <w:rPr>
          <w:rFonts w:hint="eastAsia" w:eastAsia="仿宋_GB2312"/>
          <w:sz w:val="32"/>
          <w:szCs w:val="22"/>
        </w:rPr>
        <w:t>民航规章：CCAR-91《一般运行和飞行规则》、CCAR-135《小型商业运输和空中游览运营人运行合格审定规则》、CCAR-66《民用航空器维修人员执照管理规则》等。</w:t>
      </w:r>
    </w:p>
    <w:p w14:paraId="373CC89D">
      <w:pPr>
        <w:spacing w:line="560" w:lineRule="exact"/>
        <w:ind w:firstLine="640" w:firstLineChars="200"/>
        <w:rPr>
          <w:rFonts w:eastAsia="仿宋_GB2312"/>
          <w:sz w:val="32"/>
          <w:szCs w:val="22"/>
        </w:rPr>
      </w:pPr>
      <w:r>
        <w:rPr>
          <w:rFonts w:hint="eastAsia" w:eastAsia="仿宋_GB2312"/>
          <w:sz w:val="32"/>
          <w:szCs w:val="22"/>
        </w:rPr>
        <w:t>国家标准：GB/T 10001.1《公共信息图形符号 第1部分：通用符号》、GB/T 10001.2《公共信息图形符号 第2部分：旅游休闲符号》、GB 50763《无障碍设计规范》等。</w:t>
      </w:r>
    </w:p>
    <w:p w14:paraId="5009D8F5">
      <w:pPr>
        <w:spacing w:line="560" w:lineRule="exact"/>
        <w:ind w:firstLine="640" w:firstLineChars="200"/>
        <w:rPr>
          <w:rFonts w:eastAsia="仿宋_GB2312"/>
          <w:sz w:val="32"/>
          <w:szCs w:val="22"/>
        </w:rPr>
      </w:pPr>
      <w:r>
        <w:rPr>
          <w:rFonts w:hint="eastAsia" w:eastAsia="仿宋_GB2312"/>
          <w:sz w:val="32"/>
          <w:szCs w:val="22"/>
        </w:rPr>
        <w:t>行业标准：无直接对应的行业标准。</w:t>
      </w:r>
    </w:p>
    <w:p w14:paraId="1C762FFF">
      <w:pPr>
        <w:spacing w:line="560" w:lineRule="exact"/>
        <w:ind w:firstLine="640" w:firstLineChars="200"/>
        <w:rPr>
          <w:rFonts w:eastAsia="仿宋_GB2312"/>
          <w:sz w:val="32"/>
          <w:szCs w:val="22"/>
        </w:rPr>
      </w:pPr>
      <w:r>
        <w:rPr>
          <w:rFonts w:hint="eastAsia" w:eastAsia="仿宋_GB2312"/>
          <w:sz w:val="32"/>
          <w:szCs w:val="22"/>
        </w:rPr>
        <w:t>地方标准：大连市尚无同类地方标准。本标准作为团体标准，填补了空白，与大连市低空经济产业政策、滨海旅游发展规划相符。</w:t>
      </w:r>
    </w:p>
    <w:p w14:paraId="130858FF">
      <w:pPr>
        <w:spacing w:line="560" w:lineRule="exact"/>
        <w:ind w:firstLine="640" w:firstLineChars="200"/>
        <w:rPr>
          <w:rFonts w:eastAsia="仿宋_GB2312"/>
          <w:sz w:val="32"/>
          <w:szCs w:val="22"/>
        </w:rPr>
      </w:pPr>
      <w:r>
        <w:rPr>
          <w:rFonts w:hint="eastAsia" w:eastAsia="仿宋_GB2312"/>
          <w:sz w:val="32"/>
          <w:szCs w:val="22"/>
        </w:rPr>
        <w:t>本标准未出现与国内标准不一致且无科学依据的条款。</w:t>
      </w:r>
    </w:p>
    <w:p w14:paraId="749A0787">
      <w:pPr>
        <w:numPr>
          <w:ilvl w:val="0"/>
          <w:numId w:val="1"/>
        </w:numPr>
        <w:ind w:firstLine="627" w:firstLineChars="196"/>
        <w:rPr>
          <w:rFonts w:eastAsia="黑体"/>
          <w:sz w:val="32"/>
          <w:szCs w:val="32"/>
        </w:rPr>
      </w:pPr>
      <w:r>
        <w:rPr>
          <w:rFonts w:eastAsia="黑体"/>
          <w:sz w:val="32"/>
          <w:szCs w:val="32"/>
        </w:rPr>
        <w:t>重大分歧意见的处理和依据</w:t>
      </w:r>
    </w:p>
    <w:p w14:paraId="19E239A1">
      <w:pPr>
        <w:spacing w:line="560" w:lineRule="exact"/>
        <w:ind w:firstLine="640" w:firstLineChars="200"/>
        <w:rPr>
          <w:rFonts w:hint="eastAsia" w:eastAsia="仿宋_GB2312"/>
          <w:sz w:val="32"/>
          <w:szCs w:val="22"/>
          <w:lang w:val="en-US" w:eastAsia="zh-CN"/>
        </w:rPr>
      </w:pPr>
      <w:r>
        <w:rPr>
          <w:rFonts w:hint="eastAsia" w:eastAsia="仿宋_GB2312"/>
          <w:sz w:val="32"/>
          <w:szCs w:val="22"/>
          <w:lang w:val="en-US" w:eastAsia="zh-CN"/>
        </w:rPr>
        <w:t>无。</w:t>
      </w:r>
    </w:p>
    <w:p w14:paraId="7BF0D9A7">
      <w:pPr>
        <w:ind w:firstLine="627" w:firstLineChars="196"/>
        <w:rPr>
          <w:rFonts w:eastAsia="黑体"/>
          <w:sz w:val="32"/>
          <w:szCs w:val="32"/>
        </w:rPr>
      </w:pPr>
      <w:r>
        <w:rPr>
          <w:rFonts w:eastAsia="黑体"/>
          <w:sz w:val="32"/>
          <w:szCs w:val="32"/>
        </w:rPr>
        <w:t>七、标准实施建议</w:t>
      </w:r>
    </w:p>
    <w:p w14:paraId="28BD15B2">
      <w:pPr>
        <w:spacing w:line="560" w:lineRule="exact"/>
        <w:ind w:firstLine="640" w:firstLineChars="200"/>
        <w:rPr>
          <w:rFonts w:eastAsia="仿宋_GB2312"/>
          <w:sz w:val="32"/>
          <w:szCs w:val="22"/>
        </w:rPr>
      </w:pPr>
      <w:r>
        <w:rPr>
          <w:rFonts w:hint="eastAsia" w:eastAsia="仿宋_GB2312"/>
          <w:sz w:val="32"/>
          <w:szCs w:val="22"/>
        </w:rPr>
        <w:t>为保障该团体标准有效实施，建议：</w:t>
      </w:r>
    </w:p>
    <w:p w14:paraId="2795FE04">
      <w:pPr>
        <w:spacing w:line="560" w:lineRule="exact"/>
        <w:ind w:firstLine="640" w:firstLineChars="200"/>
        <w:rPr>
          <w:rFonts w:hint="eastAsia" w:eastAsia="仿宋_GB2312"/>
          <w:sz w:val="32"/>
          <w:szCs w:val="22"/>
        </w:rPr>
      </w:pPr>
      <w:r>
        <w:rPr>
          <w:rFonts w:hint="eastAsia" w:eastAsia="仿宋_GB2312"/>
          <w:sz w:val="32"/>
          <w:szCs w:val="22"/>
        </w:rPr>
        <w:t>一、广泛宣贯，推动应用</w:t>
      </w:r>
    </w:p>
    <w:p w14:paraId="3D71D0CB">
      <w:pPr>
        <w:spacing w:line="560" w:lineRule="exact"/>
        <w:ind w:firstLine="640" w:firstLineChars="200"/>
        <w:rPr>
          <w:rFonts w:eastAsia="仿宋_GB2312"/>
          <w:sz w:val="32"/>
          <w:szCs w:val="22"/>
        </w:rPr>
      </w:pPr>
      <w:r>
        <w:rPr>
          <w:rFonts w:hint="eastAsia" w:eastAsia="仿宋_GB2312"/>
          <w:sz w:val="32"/>
          <w:szCs w:val="22"/>
        </w:rPr>
        <w:t>由大连市低空经济产业协会牵头组织专题培训，面向运营企业、地面服务人员、安全管理人员等深入解读标准，确保准确理解与操作。鼓励旅游监管部门、行业协会在评价和授信工作中采信本标准，将其纳入低空旅游服务质量监督抽检的技术依据。</w:t>
      </w:r>
    </w:p>
    <w:p w14:paraId="5263DFB3">
      <w:pPr>
        <w:spacing w:line="560" w:lineRule="exact"/>
        <w:ind w:firstLine="640" w:firstLineChars="200"/>
        <w:rPr>
          <w:rFonts w:hint="eastAsia" w:eastAsia="仿宋_GB2312"/>
          <w:sz w:val="32"/>
          <w:szCs w:val="22"/>
        </w:rPr>
      </w:pPr>
      <w:r>
        <w:rPr>
          <w:rFonts w:hint="eastAsia" w:eastAsia="仿宋_GB2312"/>
          <w:sz w:val="32"/>
          <w:szCs w:val="22"/>
        </w:rPr>
        <w:t>二、规范操作，确保安全</w:t>
      </w:r>
    </w:p>
    <w:p w14:paraId="2AF2D4E3">
      <w:pPr>
        <w:spacing w:line="560" w:lineRule="exact"/>
        <w:ind w:firstLine="640" w:firstLineChars="200"/>
        <w:rPr>
          <w:rFonts w:eastAsia="仿宋_GB2312"/>
          <w:sz w:val="32"/>
          <w:szCs w:val="22"/>
        </w:rPr>
      </w:pPr>
      <w:r>
        <w:rPr>
          <w:rFonts w:hint="eastAsia" w:eastAsia="仿宋_GB2312"/>
          <w:sz w:val="32"/>
          <w:szCs w:val="22"/>
        </w:rPr>
        <w:t>各运营企业应根据标准建立内部作业指导书，统一服务操作流程。首次应用前须完成人员培训和设施设备自查，确保符合标准要求。积极组织行业内服务技能比武、应急演练比对，保证服务质量和安全能力可比。</w:t>
      </w:r>
    </w:p>
    <w:p w14:paraId="40DDE2E7">
      <w:pPr>
        <w:spacing w:line="560" w:lineRule="exact"/>
        <w:ind w:firstLine="640" w:firstLineChars="200"/>
        <w:rPr>
          <w:rFonts w:hint="eastAsia" w:eastAsia="仿宋_GB2312"/>
          <w:sz w:val="32"/>
          <w:szCs w:val="22"/>
        </w:rPr>
      </w:pPr>
      <w:r>
        <w:rPr>
          <w:rFonts w:hint="eastAsia" w:eastAsia="仿宋_GB2312"/>
          <w:sz w:val="32"/>
          <w:szCs w:val="22"/>
        </w:rPr>
        <w:t>三、持续改进，动态完善</w:t>
      </w:r>
    </w:p>
    <w:p w14:paraId="24D90838">
      <w:pPr>
        <w:spacing w:line="560" w:lineRule="exact"/>
        <w:ind w:firstLine="640" w:firstLineChars="200"/>
        <w:rPr>
          <w:rFonts w:eastAsia="仿宋_GB2312"/>
          <w:sz w:val="32"/>
          <w:szCs w:val="22"/>
        </w:rPr>
      </w:pPr>
      <w:r>
        <w:rPr>
          <w:rFonts w:hint="eastAsia" w:eastAsia="仿宋_GB2312"/>
          <w:sz w:val="32"/>
          <w:szCs w:val="22"/>
        </w:rPr>
        <w:t>建立标准应用反馈渠道，收集标准实施中的问题，关注低空旅游技术发展（如eVTOL普及）和游客需求新动向。建议每三年对标准进行一次复审，适时修订，为标准未来升级为地方标准或行业标准奠定基础。</w:t>
      </w:r>
    </w:p>
    <w:p w14:paraId="0AB46CF4">
      <w:pPr>
        <w:ind w:firstLine="627" w:firstLineChars="196"/>
        <w:rPr>
          <w:rFonts w:eastAsia="黑体"/>
          <w:sz w:val="32"/>
          <w:szCs w:val="32"/>
        </w:rPr>
      </w:pPr>
      <w:r>
        <w:rPr>
          <w:rFonts w:hint="eastAsia" w:eastAsia="黑体"/>
          <w:sz w:val="32"/>
          <w:szCs w:val="32"/>
        </w:rPr>
        <w:t>八、其他需要说明的事项。</w:t>
      </w:r>
    </w:p>
    <w:p w14:paraId="466534EF">
      <w:pPr>
        <w:spacing w:line="560" w:lineRule="exact"/>
        <w:ind w:firstLine="640" w:firstLineChars="200"/>
        <w:rPr>
          <w:rFonts w:hint="eastAsia" w:eastAsia="仿宋_GB2312"/>
          <w:sz w:val="32"/>
          <w:szCs w:val="22"/>
          <w:lang w:eastAsia="zh-CN"/>
        </w:rPr>
      </w:pPr>
      <w:r>
        <w:rPr>
          <w:rFonts w:hint="eastAsia" w:eastAsia="仿宋_GB2312"/>
          <w:sz w:val="32"/>
          <w:szCs w:val="22"/>
        </w:rPr>
        <w:t>无</w:t>
      </w:r>
      <w:r>
        <w:rPr>
          <w:rFonts w:hint="eastAsia" w:eastAsia="仿宋_GB2312"/>
          <w:sz w:val="32"/>
          <w:szCs w:val="2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A6ED25"/>
    <w:multiLevelType w:val="singleLevel"/>
    <w:tmpl w:val="B0A6ED2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yOTJiYjYwZTljYWRhZDdmYzMwZTE5MjQ1ZTJiYWMifQ=="/>
  </w:docVars>
  <w:rsids>
    <w:rsidRoot w:val="396D3A3E"/>
    <w:rsid w:val="00072679"/>
    <w:rsid w:val="000A60B6"/>
    <w:rsid w:val="00126312"/>
    <w:rsid w:val="001321EC"/>
    <w:rsid w:val="0015646A"/>
    <w:rsid w:val="001A4F4E"/>
    <w:rsid w:val="00265D42"/>
    <w:rsid w:val="002B0788"/>
    <w:rsid w:val="002F7ABC"/>
    <w:rsid w:val="003218E1"/>
    <w:rsid w:val="0036148C"/>
    <w:rsid w:val="00380962"/>
    <w:rsid w:val="003908D9"/>
    <w:rsid w:val="0039287A"/>
    <w:rsid w:val="00404667"/>
    <w:rsid w:val="004A26B4"/>
    <w:rsid w:val="004A71C0"/>
    <w:rsid w:val="004E34C6"/>
    <w:rsid w:val="004F2245"/>
    <w:rsid w:val="005171E3"/>
    <w:rsid w:val="006044C7"/>
    <w:rsid w:val="00612986"/>
    <w:rsid w:val="00627136"/>
    <w:rsid w:val="006548B9"/>
    <w:rsid w:val="00690270"/>
    <w:rsid w:val="00705C2B"/>
    <w:rsid w:val="007505A3"/>
    <w:rsid w:val="00791397"/>
    <w:rsid w:val="00795A48"/>
    <w:rsid w:val="00796CB6"/>
    <w:rsid w:val="007A3FC4"/>
    <w:rsid w:val="008A691F"/>
    <w:rsid w:val="008C098C"/>
    <w:rsid w:val="008D6D86"/>
    <w:rsid w:val="008E2E59"/>
    <w:rsid w:val="008F1A7C"/>
    <w:rsid w:val="009C0229"/>
    <w:rsid w:val="00A50944"/>
    <w:rsid w:val="00B1350E"/>
    <w:rsid w:val="00BB24C8"/>
    <w:rsid w:val="00BB3BCD"/>
    <w:rsid w:val="00BD556B"/>
    <w:rsid w:val="00BF5B84"/>
    <w:rsid w:val="00C25D64"/>
    <w:rsid w:val="00CA1B68"/>
    <w:rsid w:val="00CF411A"/>
    <w:rsid w:val="00D743B5"/>
    <w:rsid w:val="00DF5286"/>
    <w:rsid w:val="00E54171"/>
    <w:rsid w:val="00E6375E"/>
    <w:rsid w:val="00EA2C1B"/>
    <w:rsid w:val="00F465D6"/>
    <w:rsid w:val="00FA7547"/>
    <w:rsid w:val="00FC463B"/>
    <w:rsid w:val="02100117"/>
    <w:rsid w:val="025D690F"/>
    <w:rsid w:val="029C1412"/>
    <w:rsid w:val="038A2C09"/>
    <w:rsid w:val="043B10FF"/>
    <w:rsid w:val="0531414E"/>
    <w:rsid w:val="06032B2D"/>
    <w:rsid w:val="0B7E5F21"/>
    <w:rsid w:val="0CD0368C"/>
    <w:rsid w:val="11070852"/>
    <w:rsid w:val="11853D3E"/>
    <w:rsid w:val="13361AEC"/>
    <w:rsid w:val="13623916"/>
    <w:rsid w:val="148D32B1"/>
    <w:rsid w:val="16282DBB"/>
    <w:rsid w:val="163C4081"/>
    <w:rsid w:val="169E3699"/>
    <w:rsid w:val="18C24DAB"/>
    <w:rsid w:val="19C41B53"/>
    <w:rsid w:val="1A447240"/>
    <w:rsid w:val="1A642D06"/>
    <w:rsid w:val="1A6D1019"/>
    <w:rsid w:val="1A9554A2"/>
    <w:rsid w:val="1B762B8F"/>
    <w:rsid w:val="1CE41C20"/>
    <w:rsid w:val="1D894650"/>
    <w:rsid w:val="1F12350D"/>
    <w:rsid w:val="242C5369"/>
    <w:rsid w:val="26CA0394"/>
    <w:rsid w:val="28CA3E12"/>
    <w:rsid w:val="298011DE"/>
    <w:rsid w:val="29A44ECD"/>
    <w:rsid w:val="29E3139F"/>
    <w:rsid w:val="2ACC7FF6"/>
    <w:rsid w:val="2B41390F"/>
    <w:rsid w:val="2BAC62BA"/>
    <w:rsid w:val="2CF560B4"/>
    <w:rsid w:val="2DE27D71"/>
    <w:rsid w:val="2F0D5798"/>
    <w:rsid w:val="2F75600B"/>
    <w:rsid w:val="3037502F"/>
    <w:rsid w:val="303C4231"/>
    <w:rsid w:val="32866DD6"/>
    <w:rsid w:val="34327581"/>
    <w:rsid w:val="34F532C0"/>
    <w:rsid w:val="35962E31"/>
    <w:rsid w:val="37272C99"/>
    <w:rsid w:val="39371C85"/>
    <w:rsid w:val="393F6ACF"/>
    <w:rsid w:val="396D3A3E"/>
    <w:rsid w:val="3AF16EE9"/>
    <w:rsid w:val="3B905FB8"/>
    <w:rsid w:val="3BA47F47"/>
    <w:rsid w:val="3CD17C85"/>
    <w:rsid w:val="3EBE30FE"/>
    <w:rsid w:val="3F34632C"/>
    <w:rsid w:val="41E023C2"/>
    <w:rsid w:val="436451D4"/>
    <w:rsid w:val="44200160"/>
    <w:rsid w:val="449A5066"/>
    <w:rsid w:val="44FF311D"/>
    <w:rsid w:val="475D6648"/>
    <w:rsid w:val="477C0DDF"/>
    <w:rsid w:val="485765A3"/>
    <w:rsid w:val="48682B27"/>
    <w:rsid w:val="497839CC"/>
    <w:rsid w:val="4BC4555C"/>
    <w:rsid w:val="4D824419"/>
    <w:rsid w:val="4E666D10"/>
    <w:rsid w:val="4E992DD5"/>
    <w:rsid w:val="50EF2622"/>
    <w:rsid w:val="51FB1E7E"/>
    <w:rsid w:val="525A1D1D"/>
    <w:rsid w:val="52AD73C2"/>
    <w:rsid w:val="538E07C1"/>
    <w:rsid w:val="54F2448F"/>
    <w:rsid w:val="5613694F"/>
    <w:rsid w:val="561C6D6A"/>
    <w:rsid w:val="56981066"/>
    <w:rsid w:val="56FB38A8"/>
    <w:rsid w:val="57103779"/>
    <w:rsid w:val="58D52CEA"/>
    <w:rsid w:val="5DAD53F7"/>
    <w:rsid w:val="5DBD2CAE"/>
    <w:rsid w:val="5DEA0814"/>
    <w:rsid w:val="5F9115A6"/>
    <w:rsid w:val="61A55D4C"/>
    <w:rsid w:val="63024C8C"/>
    <w:rsid w:val="63241806"/>
    <w:rsid w:val="634D2974"/>
    <w:rsid w:val="63871E73"/>
    <w:rsid w:val="640B5E3E"/>
    <w:rsid w:val="658E3D60"/>
    <w:rsid w:val="65BF4503"/>
    <w:rsid w:val="69472848"/>
    <w:rsid w:val="6A641533"/>
    <w:rsid w:val="6BE91CF0"/>
    <w:rsid w:val="6E801271"/>
    <w:rsid w:val="6FF7564A"/>
    <w:rsid w:val="719F1934"/>
    <w:rsid w:val="722803D2"/>
    <w:rsid w:val="73C3376E"/>
    <w:rsid w:val="792204FD"/>
    <w:rsid w:val="7A682979"/>
    <w:rsid w:val="7BFC1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No Spacing"/>
    <w:basedOn w:val="1"/>
    <w:qFormat/>
    <w:uiPriority w:val="1"/>
  </w:style>
  <w:style w:type="character" w:customStyle="1" w:styleId="7">
    <w:name w:val="font21"/>
    <w:basedOn w:val="5"/>
    <w:qFormat/>
    <w:uiPriority w:val="0"/>
    <w:rPr>
      <w:rFonts w:hint="eastAsia" w:ascii="宋体" w:hAnsi="宋体" w:eastAsia="宋体" w:cs="宋体"/>
      <w:color w:val="000000"/>
      <w:sz w:val="24"/>
      <w:szCs w:val="24"/>
      <w:u w:val="none"/>
    </w:rPr>
  </w:style>
  <w:style w:type="character" w:customStyle="1" w:styleId="8">
    <w:name w:val="font11"/>
    <w:basedOn w:val="5"/>
    <w:qFormat/>
    <w:uiPriority w:val="0"/>
    <w:rPr>
      <w:rFonts w:hint="eastAsia" w:ascii="宋体" w:hAnsi="宋体" w:eastAsia="宋体" w:cs="宋体"/>
      <w:color w:val="000000"/>
      <w:sz w:val="21"/>
      <w:szCs w:val="21"/>
      <w:u w:val="none"/>
    </w:rPr>
  </w:style>
  <w:style w:type="paragraph" w:customStyle="1" w:styleId="9">
    <w:name w:val="Table Paragraph"/>
    <w:basedOn w:val="1"/>
    <w:qFormat/>
    <w:uiPriority w:val="1"/>
    <w:rPr>
      <w:rFonts w:ascii="宋体" w:hAnsi="宋体" w:cs="宋体"/>
      <w:lang w:val="zh-CN" w:bidi="zh-CN"/>
    </w:rPr>
  </w:style>
  <w:style w:type="character" w:customStyle="1" w:styleId="10">
    <w:name w:val="批注框文本 Char"/>
    <w:basedOn w:val="5"/>
    <w:link w:val="2"/>
    <w:qFormat/>
    <w:uiPriority w:val="0"/>
    <w:rPr>
      <w:kern w:val="2"/>
      <w:sz w:val="18"/>
      <w:szCs w:val="18"/>
    </w:rPr>
  </w:style>
  <w:style w:type="table" w:customStyle="1" w:styleId="11">
    <w:name w:val="网格型1"/>
    <w:basedOn w:val="3"/>
    <w:qFormat/>
    <w:uiPriority w:val="59"/>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7128</Words>
  <Characters>7551</Characters>
  <Lines>60</Lines>
  <Paragraphs>17</Paragraphs>
  <TotalTime>54</TotalTime>
  <ScaleCrop>false</ScaleCrop>
  <LinksUpToDate>false</LinksUpToDate>
  <CharactersWithSpaces>7604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2022-06-14T06:14:00Z</dcterms:created>
  <dc:creator>Administrator</dc:creator>
  <cp:lastModifiedBy>小Q</cp:lastModifiedBy>
  <cp:lastPrinted>2026-03-19T07:59:00Z</cp:lastPrinted>
  <dcterms:modified xsi:type="dcterms:W3CDTF">2026-06-04T00:29:27Z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0FD2E6A7161C4E09AC3F88DF514F74E5_13</vt:lpwstr>
  </property>
  <property fmtid="{D5CDD505-2E9C-101B-9397-08002B2CF9AE}" pid="4" name="KSOTemplateDocerSaveRecord">
    <vt:lpwstr>eyJoZGlkIjoiM2E2NjQ3NWMzN2IwNjY0YWE3NmY3ZjY4Y2MzOGM2NTEiLCJ1c2VySWQiOiI4MTAwOTkxNTQifQ==</vt:lpwstr>
  </property>
</Properties>
</file>