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D530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4E596E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8BF0E0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03.200     </w:t>
            </w:r>
            <w:r>
              <w:rPr>
                <w:rFonts w:ascii="黑体" w:hAnsi="黑体" w:eastAsia="黑体"/>
                <w:sz w:val="21"/>
                <w:szCs w:val="21"/>
              </w:rPr>
              <w:fldChar w:fldCharType="end"/>
            </w:r>
            <w:bookmarkEnd w:id="0"/>
          </w:p>
        </w:tc>
      </w:tr>
      <w:tr w14:paraId="1004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F89C6A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84B1EF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0FE3F03">
                  <w:pPr>
                    <w:pStyle w:val="49"/>
                    <w:framePr w:wrap="notBeside" w:vAnchor="page" w:hAnchor="page" w:x="1372" w:y="568"/>
                    <w:ind w:left="420" w:right="624"/>
                    <w:rPr>
                      <w:rFonts w:ascii="宋体" w:hAnsi="宋体"/>
                      <w:sz w:val="28"/>
                      <w:szCs w:val="28"/>
                    </w:rPr>
                  </w:pPr>
                </w:p>
              </w:tc>
            </w:tr>
          </w:tbl>
          <w:p w14:paraId="71F5297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V</w:t>
            </w:r>
            <w:r>
              <w:rPr>
                <w:rFonts w:hint="eastAsia" w:ascii="黑体" w:hAnsi="黑体" w:eastAsia="黑体"/>
                <w:sz w:val="21"/>
                <w:szCs w:val="21"/>
              </w:rPr>
              <w:t xml:space="preserve"> </w:t>
            </w:r>
            <w:r>
              <w:rPr>
                <w:rFonts w:ascii="黑体" w:hAnsi="黑体" w:eastAsia="黑体"/>
                <w:sz w:val="21"/>
                <w:szCs w:val="21"/>
              </w:rPr>
              <w:t>50     </w:t>
            </w:r>
            <w:r>
              <w:rPr>
                <w:rFonts w:ascii="黑体" w:hAnsi="黑体" w:eastAsia="黑体"/>
                <w:sz w:val="21"/>
                <w:szCs w:val="21"/>
              </w:rPr>
              <w:fldChar w:fldCharType="end"/>
            </w:r>
            <w:bookmarkEnd w:id="1"/>
          </w:p>
        </w:tc>
      </w:tr>
    </w:tbl>
    <w:p w14:paraId="6ADE6D55">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3EB12AEE">
      <w:pPr>
        <w:pStyle w:val="195"/>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63F4DC33">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DF348E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7679B53">
      <w:pPr>
        <w:pStyle w:val="50"/>
        <w:framePr w:w="9639" w:h="6976" w:hRule="exact" w:hSpace="0" w:vSpace="0" w:wrap="around" w:hAnchor="page" w:y="6408"/>
        <w:jc w:val="center"/>
        <w:rPr>
          <w:rFonts w:ascii="黑体" w:hAnsi="黑体" w:eastAsia="黑体"/>
          <w:b w:val="0"/>
          <w:bCs w:val="0"/>
          <w:w w:val="100"/>
        </w:rPr>
      </w:pPr>
    </w:p>
    <w:p w14:paraId="79AB85F4">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 xml:space="preserve">海岸带低空观光旅游服务质量规范  </w:t>
      </w:r>
      <w:r>
        <w:fldChar w:fldCharType="end"/>
      </w:r>
      <w:bookmarkEnd w:id="7"/>
    </w:p>
    <w:p w14:paraId="7B53EA73">
      <w:pPr>
        <w:framePr w:w="9639" w:h="6974" w:hRule="exact" w:wrap="around" w:vAnchor="page" w:hAnchor="page" w:x="1419" w:y="6408" w:anchorLock="1"/>
        <w:ind w:left="-1418"/>
      </w:pPr>
    </w:p>
    <w:p w14:paraId="0FD83CF7">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Specification for Service Quality of Coastal Low-Altitude Sightseeing Tourism</w:t>
      </w:r>
      <w:r>
        <w:rPr>
          <w:rFonts w:eastAsia="黑体"/>
          <w:szCs w:val="28"/>
        </w:rPr>
        <w:fldChar w:fldCharType="end"/>
      </w:r>
      <w:bookmarkEnd w:id="8"/>
    </w:p>
    <w:p w14:paraId="71383C39">
      <w:pPr>
        <w:framePr w:w="9639" w:h="6974" w:hRule="exact" w:wrap="around" w:vAnchor="page" w:hAnchor="page" w:x="1419" w:y="6408" w:anchorLock="1"/>
        <w:spacing w:line="760" w:lineRule="exact"/>
        <w:ind w:left="-1418"/>
      </w:pPr>
    </w:p>
    <w:p w14:paraId="5D00E8D2">
      <w:pPr>
        <w:pStyle w:val="125"/>
        <w:framePr w:w="9639" w:h="6974" w:hRule="exact" w:wrap="around" w:vAnchor="page" w:hAnchor="page" w:x="1419" w:y="6408" w:anchorLock="1"/>
        <w:textAlignment w:val="bottom"/>
        <w:rPr>
          <w:rFonts w:eastAsia="黑体"/>
          <w:szCs w:val="28"/>
        </w:rPr>
      </w:pPr>
    </w:p>
    <w:p w14:paraId="43858CE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FF7017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10717FB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1DE209E0">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4"/>
      <w:r>
        <w:rPr>
          <w:rFonts w:hint="eastAsia"/>
        </w:rPr>
        <w:t>发布</w:t>
      </w:r>
    </w:p>
    <w:p w14:paraId="33238EB4">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7"/>
      <w:r>
        <w:rPr>
          <w:rFonts w:hint="eastAsia"/>
        </w:rPr>
        <w:t>实施</w:t>
      </w:r>
    </w:p>
    <w:p w14:paraId="01FC0FB5">
      <w:pPr>
        <w:pStyle w:val="151"/>
        <w:framePr w:h="705" w:hRule="exact" w:hSpace="181" w:vSpace="181" w:wrap="around" w:y="14800"/>
        <w:ind w:left="1470" w:leftChars="700"/>
        <w:jc w:val="left"/>
        <w:rPr>
          <w:rFonts w:hAnsi="黑体"/>
        </w:rPr>
      </w:pPr>
      <w:r>
        <w:rPr>
          <w:rFonts w:hint="eastAsia" w:ascii="Times New Roman"/>
          <w:w w:val="100"/>
          <w:sz w:val="28"/>
        </w:rPr>
        <w:t xml:space="preserve">大连市标准化协会协会                                           大连市低空经济产业协会    </w:t>
      </w:r>
    </w:p>
    <w:p w14:paraId="37AE300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Times New Roman"/>
          <w:sz w:val="28"/>
        </w:rPr>
        <w:drawing>
          <wp:anchor distT="0" distB="0" distL="114300" distR="114300" simplePos="0" relativeHeight="251661312" behindDoc="1" locked="0" layoutInCell="1" allowOverlap="1">
            <wp:simplePos x="0" y="0"/>
            <wp:positionH relativeFrom="column">
              <wp:posOffset>3823970</wp:posOffset>
            </wp:positionH>
            <wp:positionV relativeFrom="paragraph">
              <wp:posOffset>7121525</wp:posOffset>
            </wp:positionV>
            <wp:extent cx="594995" cy="313055"/>
            <wp:effectExtent l="0" t="0" r="0" b="0"/>
            <wp:wrapTight wrapText="bothSides">
              <wp:wrapPolygon>
                <wp:start x="4149" y="2629"/>
                <wp:lineTo x="2075" y="11830"/>
                <wp:lineTo x="2766" y="18402"/>
                <wp:lineTo x="15906" y="18402"/>
                <wp:lineTo x="17289" y="11830"/>
                <wp:lineTo x="17289" y="5258"/>
                <wp:lineTo x="15215" y="2629"/>
                <wp:lineTo x="4149" y="2629"/>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4995" cy="313055"/>
                    </a:xfrm>
                    <a:prstGeom prst="rect">
                      <a:avLst/>
                    </a:prstGeom>
                    <a:noFill/>
                  </pic:spPr>
                </pic:pic>
              </a:graphicData>
            </a:graphic>
          </wp:anchor>
        </w:drawing>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5353E6C">
      <w:pPr>
        <w:pStyle w:val="89"/>
        <w:spacing w:before="900" w:after="360"/>
      </w:pPr>
      <w:bookmarkStart w:id="18" w:name="BookMark2"/>
      <w:r>
        <w:rPr>
          <w:spacing w:val="320"/>
        </w:rPr>
        <w:t>前</w:t>
      </w:r>
      <w:r>
        <w:t>言</w:t>
      </w:r>
    </w:p>
    <w:p w14:paraId="3B3EE90A">
      <w:pPr>
        <w:pStyle w:val="56"/>
        <w:ind w:firstLine="420"/>
      </w:pPr>
      <w:r>
        <w:rPr>
          <w:rFonts w:hint="eastAsia"/>
        </w:rPr>
        <w:t>本文件按照GB/T 1.1—2020《标准化工作导则  第1部分：标准化文件的结构和起草规则》的规定起草。</w:t>
      </w:r>
    </w:p>
    <w:p w14:paraId="644D685B">
      <w:pPr>
        <w:pStyle w:val="56"/>
        <w:ind w:firstLine="420"/>
        <w:rPr>
          <w:rFonts w:hAnsi="宋体"/>
        </w:rPr>
      </w:pPr>
      <w:r>
        <w:rPr>
          <w:rFonts w:hint="eastAsia" w:hAnsi="宋体"/>
        </w:rPr>
        <w:t>请注意本文件的某些内容可能涉及专利。本文件的发布机构不承担识别专利的责任。</w:t>
      </w:r>
    </w:p>
    <w:p w14:paraId="3A19FB95">
      <w:pPr>
        <w:pStyle w:val="56"/>
        <w:ind w:firstLine="420"/>
        <w:rPr>
          <w:rFonts w:hAnsi="宋体"/>
        </w:rPr>
      </w:pPr>
      <w:r>
        <w:rPr>
          <w:rFonts w:hint="eastAsia" w:hAnsi="宋体"/>
        </w:rPr>
        <w:t>本文件由大连市低空经济产业协会提出。</w:t>
      </w:r>
    </w:p>
    <w:p w14:paraId="57B7CC4F">
      <w:pPr>
        <w:pStyle w:val="56"/>
        <w:ind w:firstLine="420"/>
        <w:rPr>
          <w:szCs w:val="21"/>
        </w:rPr>
      </w:pPr>
      <w:r>
        <w:rPr>
          <w:rFonts w:hint="eastAsia" w:hAnsi="宋体"/>
        </w:rPr>
        <w:t>本文件由大连市标准化协会和大连市低空经济产业协会归口。</w:t>
      </w:r>
    </w:p>
    <w:p w14:paraId="74AE20B6">
      <w:pPr>
        <w:pStyle w:val="56"/>
        <w:ind w:firstLine="420"/>
      </w:pPr>
      <w:r>
        <w:rPr>
          <w:rFonts w:hint="eastAsia" w:hAnsi="宋体"/>
        </w:rPr>
        <w:t>本文件起草单位：大连标准认证研究院有限公司、大连市低空经济产业协会、大连欧亚直升机有限公司、。</w:t>
      </w:r>
    </w:p>
    <w:p w14:paraId="73831BCF">
      <w:pPr>
        <w:pStyle w:val="56"/>
        <w:ind w:firstLine="420"/>
      </w:pPr>
      <w:r>
        <w:rPr>
          <w:rFonts w:hint="eastAsia" w:hAnsi="宋体"/>
        </w:rPr>
        <w:t>本文件主要起草人：徐慧、袁照路、杨捷、</w:t>
      </w:r>
      <w:r>
        <w:rPr>
          <w:rFonts w:hint="eastAsia" w:hAnsi="宋体"/>
          <w:lang w:val="en-US" w:eastAsia="zh-CN"/>
        </w:rPr>
        <w:t>刘文秀、</w:t>
      </w:r>
      <w:bookmarkStart w:id="49" w:name="_GoBack"/>
      <w:bookmarkEnd w:id="49"/>
      <w:r>
        <w:rPr>
          <w:rFonts w:hint="eastAsia" w:hAnsi="宋体"/>
        </w:rPr>
        <w:t>苏展。</w:t>
      </w:r>
    </w:p>
    <w:p w14:paraId="4C7F4666">
      <w:pPr>
        <w:pStyle w:val="56"/>
        <w:ind w:firstLine="420"/>
      </w:pPr>
    </w:p>
    <w:p w14:paraId="125E18BF">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18"/>
    <w:p w14:paraId="3B0823B9">
      <w:pPr>
        <w:spacing w:line="20" w:lineRule="exact"/>
        <w:jc w:val="center"/>
        <w:rPr>
          <w:rFonts w:ascii="黑体" w:hAnsi="黑体" w:eastAsia="黑体"/>
          <w:sz w:val="32"/>
          <w:szCs w:val="32"/>
        </w:rPr>
      </w:pPr>
      <w:bookmarkStart w:id="19" w:name="BookMark4"/>
    </w:p>
    <w:p w14:paraId="41F99D72">
      <w:pPr>
        <w:spacing w:line="20" w:lineRule="exact"/>
        <w:jc w:val="center"/>
        <w:rPr>
          <w:rFonts w:ascii="黑体" w:hAnsi="黑体" w:eastAsia="黑体"/>
          <w:sz w:val="32"/>
          <w:szCs w:val="32"/>
        </w:rPr>
      </w:pPr>
    </w:p>
    <w:sdt>
      <w:sdtPr>
        <w:tag w:val="NEW_STAND_NAME"/>
        <w:id w:val="595910757"/>
        <w:lock w:val="sdtLocked"/>
        <w:placeholder>
          <w:docPart w:val="9340F2EF7DE948C392B159902EC9F183"/>
        </w:placeholder>
      </w:sdtPr>
      <w:sdtContent>
        <w:p w14:paraId="61204670">
          <w:pPr>
            <w:pStyle w:val="177"/>
            <w:spacing w:before="2" w:beforeLines="1" w:after="528" w:afterLines="220"/>
          </w:pPr>
          <w:bookmarkStart w:id="20" w:name="OLE_LINK1"/>
          <w:bookmarkEnd w:id="20"/>
          <w:bookmarkStart w:id="21" w:name="NEW_STAND_NAME"/>
          <w:r>
            <w:rPr>
              <w:rFonts w:hint="eastAsia"/>
            </w:rPr>
            <w:t>海岸带低空观光旅游服务质量规范</w:t>
          </w:r>
          <w:r>
            <w:t xml:space="preserve">  </w:t>
          </w:r>
        </w:p>
      </w:sdtContent>
    </w:sdt>
    <w:bookmarkEnd w:id="21"/>
    <w:p w14:paraId="3C749F16">
      <w:pPr>
        <w:pStyle w:val="104"/>
        <w:spacing w:before="240" w:after="240"/>
      </w:pPr>
      <w:bookmarkStart w:id="22" w:name="_Toc26648465"/>
      <w:bookmarkStart w:id="23" w:name="_Toc26986771"/>
      <w:bookmarkStart w:id="24" w:name="_Toc26718930"/>
      <w:bookmarkStart w:id="25" w:name="_Toc17233325"/>
      <w:bookmarkStart w:id="26" w:name="_Toc17233333"/>
      <w:bookmarkStart w:id="27" w:name="_Toc24884218"/>
      <w:bookmarkStart w:id="28" w:name="_Toc24884211"/>
      <w:bookmarkStart w:id="29" w:name="_Toc26986530"/>
      <w:bookmarkStart w:id="30" w:name="_Toc97192964"/>
      <w:r>
        <w:rPr>
          <w:rFonts w:hint="eastAsia"/>
        </w:rPr>
        <w:t>范围</w:t>
      </w:r>
      <w:bookmarkEnd w:id="22"/>
      <w:bookmarkEnd w:id="23"/>
      <w:bookmarkEnd w:id="24"/>
      <w:bookmarkEnd w:id="25"/>
      <w:bookmarkEnd w:id="26"/>
      <w:bookmarkEnd w:id="27"/>
      <w:bookmarkEnd w:id="28"/>
      <w:bookmarkEnd w:id="29"/>
      <w:bookmarkEnd w:id="30"/>
    </w:p>
    <w:p w14:paraId="08818AEA">
      <w:pPr>
        <w:pStyle w:val="56"/>
        <w:ind w:firstLine="420"/>
      </w:pPr>
      <w:bookmarkStart w:id="31" w:name="_Toc24884219"/>
      <w:bookmarkStart w:id="32" w:name="_Toc17233334"/>
      <w:bookmarkStart w:id="33" w:name="_Toc17233326"/>
      <w:bookmarkStart w:id="34" w:name="_Toc26648466"/>
      <w:bookmarkStart w:id="35" w:name="_Toc24884212"/>
      <w:r>
        <w:t>本文件规定了</w:t>
      </w:r>
      <w:r>
        <w:rPr>
          <w:rFonts w:hint="eastAsia"/>
        </w:rPr>
        <w:t>海岸带低空观光旅游的运营服务机构、服务设施与设备、服务人员、服务流程、服务安全与应急管理、服务质量评价与改进等要求。</w:t>
      </w:r>
    </w:p>
    <w:p w14:paraId="6E3E6B49">
      <w:pPr>
        <w:pStyle w:val="56"/>
        <w:ind w:firstLine="420"/>
      </w:pPr>
      <w:r>
        <w:rPr>
          <w:rFonts w:hint="eastAsia"/>
        </w:rPr>
        <w:t>本文件适用于利用直升机、电动垂直起降航空器（eVTOL）等航空器，在海岸带区域（包括大陆海滨、近岸水域、海岛及其上空）开展的以旅游观光为目的的低空飞行活动所提供的服务。</w:t>
      </w:r>
    </w:p>
    <w:p w14:paraId="7CDBCF7C">
      <w:pPr>
        <w:pStyle w:val="104"/>
        <w:spacing w:before="240" w:after="240"/>
      </w:pPr>
      <w:bookmarkStart w:id="36" w:name="_Toc26718931"/>
      <w:bookmarkStart w:id="37" w:name="_Toc97192965"/>
      <w:bookmarkStart w:id="38" w:name="_Toc26986531"/>
      <w:bookmarkStart w:id="39" w:name="_Toc26986772"/>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9BA73101B1BB4B24B37DACE2B7C534D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8216D7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12D4E6">
      <w:pPr>
        <w:pStyle w:val="56"/>
        <w:ind w:firstLine="420"/>
      </w:pPr>
      <w:r>
        <w:t>GB/T 10001.1 公共信息图形符号 第1部分：通用符号</w:t>
      </w:r>
    </w:p>
    <w:p w14:paraId="7830BF23">
      <w:pPr>
        <w:pStyle w:val="56"/>
        <w:ind w:firstLine="420"/>
      </w:pPr>
      <w:r>
        <w:t xml:space="preserve">GB/T 10001.2 </w:t>
      </w:r>
      <w:r>
        <w:rPr>
          <w:rFonts w:hint="eastAsia"/>
        </w:rPr>
        <w:t>公共信息图形符号 第2部分：旅游休闲符号</w:t>
      </w:r>
    </w:p>
    <w:p w14:paraId="60C0A41E">
      <w:pPr>
        <w:pStyle w:val="104"/>
        <w:spacing w:before="240" w:after="240"/>
      </w:pPr>
      <w:bookmarkStart w:id="40" w:name="_Toc97192966"/>
      <w:r>
        <w:rPr>
          <w:rFonts w:hint="eastAsia"/>
          <w:szCs w:val="21"/>
        </w:rPr>
        <w:t>术语和定义</w:t>
      </w:r>
      <w:bookmarkEnd w:id="40"/>
    </w:p>
    <w:sdt>
      <w:sdtPr>
        <w:id w:val="-1909835108"/>
        <w:placeholder>
          <w:docPart w:val="C2AC8132B2AF4C668BE9BD324A81E5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EFBE8D8">
          <w:pPr>
            <w:pStyle w:val="56"/>
            <w:ind w:firstLine="420"/>
          </w:pPr>
          <w:bookmarkStart w:id="41" w:name="_Toc26986532"/>
          <w:bookmarkEnd w:id="41"/>
          <w:r>
            <w:t>下列术语和定义适用于本文件。</w:t>
          </w:r>
        </w:p>
      </w:sdtContent>
    </w:sdt>
    <w:p w14:paraId="5CC0588F">
      <w:pPr>
        <w:pStyle w:val="223"/>
        <w:ind w:left="420" w:hanging="420" w:hangingChars="200"/>
        <w:rPr>
          <w:rFonts w:ascii="黑体" w:hAnsi="黑体" w:eastAsia="黑体"/>
        </w:rPr>
      </w:pPr>
      <w:r>
        <w:rPr>
          <w:rFonts w:hAnsi="黑体"/>
        </w:rPr>
        <w:br w:type="textWrapping"/>
      </w:r>
      <w:r>
        <w:rPr>
          <w:rFonts w:ascii="黑体" w:hAnsi="黑体" w:eastAsia="黑体"/>
        </w:rPr>
        <w:t xml:space="preserve">海岸带低空观光旅游  </w:t>
      </w:r>
      <w:r>
        <w:rPr>
          <w:rFonts w:hint="eastAsia" w:ascii="黑体" w:hAnsi="黑体" w:eastAsia="黑体"/>
        </w:rPr>
        <w:t>c</w:t>
      </w:r>
      <w:r>
        <w:rPr>
          <w:rFonts w:ascii="黑体" w:hAnsi="黑体" w:eastAsia="黑体"/>
        </w:rPr>
        <w:t>oastal low-altitude tourism</w:t>
      </w:r>
    </w:p>
    <w:p w14:paraId="27FA934E">
      <w:pPr>
        <w:pStyle w:val="56"/>
        <w:ind w:firstLine="420"/>
      </w:pPr>
      <w:r>
        <w:rPr>
          <w:rFonts w:hint="eastAsia"/>
        </w:rPr>
        <w:t>依托滨海海岸、海湾、海岛、滨海湿地、滨海景区等海岸带文旅资源，在合规低空空域内，利用低空航空器承载游客开展空中观景、滨海风光游览、休闲文旅体验的经营性旅游服务活动。</w:t>
      </w:r>
    </w:p>
    <w:p w14:paraId="559BD82A">
      <w:pPr>
        <w:pStyle w:val="223"/>
        <w:ind w:left="420" w:hanging="420" w:hangingChars="200"/>
        <w:rPr>
          <w:rFonts w:ascii="黑体" w:hAnsi="黑体" w:eastAsia="黑体"/>
        </w:rPr>
      </w:pPr>
      <w:r>
        <w:rPr>
          <w:rFonts w:hAnsi="黑体"/>
        </w:rPr>
        <w:br w:type="textWrapping"/>
      </w:r>
      <w:r>
        <w:rPr>
          <w:rFonts w:ascii="黑体" w:hAnsi="黑体" w:eastAsia="黑体"/>
        </w:rPr>
        <w:t>运营服务机构</w:t>
      </w:r>
      <w:r>
        <w:rPr>
          <w:rFonts w:hint="eastAsia" w:ascii="黑体" w:hAnsi="黑体" w:eastAsia="黑体"/>
        </w:rPr>
        <w:t xml:space="preserve"> </w:t>
      </w:r>
      <w:r>
        <w:rPr>
          <w:rFonts w:ascii="黑体" w:hAnsi="黑体" w:eastAsia="黑体"/>
        </w:rPr>
        <w:t xml:space="preserve"> operation and service institution</w:t>
      </w:r>
    </w:p>
    <w:p w14:paraId="290217C0">
      <w:pPr>
        <w:pStyle w:val="56"/>
        <w:ind w:firstLine="420"/>
      </w:pPr>
      <w:r>
        <w:rPr>
          <w:rFonts w:hint="eastAsia"/>
        </w:rPr>
        <w:t>依法完成市场主体登记，取得通用航空经营资质、空域使用许可、飞行运行资质，具备海岸带低空观光旅游合法经营资格的法人及经营组织。</w:t>
      </w:r>
    </w:p>
    <w:p w14:paraId="2C1FA9BA">
      <w:pPr>
        <w:pStyle w:val="104"/>
        <w:spacing w:before="240" w:after="240"/>
      </w:pPr>
      <w:r>
        <w:t>运营服务机构</w:t>
      </w:r>
    </w:p>
    <w:p w14:paraId="00D83615">
      <w:pPr>
        <w:pStyle w:val="105"/>
        <w:spacing w:before="120" w:after="120"/>
      </w:pPr>
      <w:r>
        <w:rPr>
          <w:rFonts w:hint="eastAsia"/>
        </w:rPr>
        <w:t>资质要求</w:t>
      </w:r>
    </w:p>
    <w:p w14:paraId="01F98B19">
      <w:pPr>
        <w:pStyle w:val="165"/>
      </w:pPr>
      <w:r>
        <w:rPr>
          <w:rFonts w:hint="eastAsia"/>
        </w:rPr>
        <w:t>应依法取得相应的经营资质，包括但不限于营业执照、通用航空经营许可证（经营范围应包含通用航空空中游览、低空观光旅游、航空文旅体验等对应经营项目）等。</w:t>
      </w:r>
    </w:p>
    <w:p w14:paraId="6178C158">
      <w:pPr>
        <w:pStyle w:val="165"/>
      </w:pPr>
      <w:r>
        <w:rPr>
          <w:rFonts w:hint="eastAsia"/>
        </w:rPr>
        <w:t>使用的低空航空器应取得适航证，并按照民航规章要求保持持续适航状态。</w:t>
      </w:r>
    </w:p>
    <w:p w14:paraId="75711630">
      <w:pPr>
        <w:pStyle w:val="165"/>
      </w:pPr>
      <w:r>
        <w:rPr>
          <w:rFonts w:hint="eastAsia"/>
        </w:rPr>
        <w:t>应取得所运营飞行空域的使用批准文件，遵守空域管理要求，按照合同约定和服务承诺内容开展经营活动。</w:t>
      </w:r>
    </w:p>
    <w:p w14:paraId="70C5555C">
      <w:pPr>
        <w:pStyle w:val="165"/>
      </w:pPr>
      <w:r>
        <w:rPr>
          <w:rFonts w:hint="eastAsia"/>
        </w:rPr>
        <w:t>应依法向文化和旅游、民航、公安、海事、海洋等主管部门办理相关备案登记手续，接受行业联合监管。</w:t>
      </w:r>
    </w:p>
    <w:p w14:paraId="0F58DA54">
      <w:pPr>
        <w:pStyle w:val="105"/>
        <w:spacing w:before="120" w:after="120"/>
      </w:pPr>
      <w:r>
        <w:t>场地运营条件</w:t>
      </w:r>
    </w:p>
    <w:p w14:paraId="210B5969">
      <w:pPr>
        <w:pStyle w:val="165"/>
      </w:pPr>
      <w:r>
        <w:rPr>
          <w:rFonts w:hint="eastAsia"/>
        </w:rPr>
        <w:t>观光飞行起降点、临时起降场选址应地势平整、视野开阔，远离高层建筑物、高压线路、港口作业区、人员密集聚集区。</w:t>
      </w:r>
    </w:p>
    <w:p w14:paraId="7D590946">
      <w:pPr>
        <w:pStyle w:val="165"/>
      </w:pPr>
      <w:r>
        <w:rPr>
          <w:rFonts w:hint="eastAsia"/>
        </w:rPr>
        <w:t>起降场地应分区清晰，划分飞行器停放区、旅客等候区、安检区、登机区、应急疏散区。</w:t>
      </w:r>
    </w:p>
    <w:p w14:paraId="2ACD526A">
      <w:pPr>
        <w:pStyle w:val="165"/>
      </w:pPr>
      <w:r>
        <w:rPr>
          <w:rFonts w:hint="eastAsia"/>
        </w:rPr>
        <w:t>起降场地配套设施应满足滨海多雨、多风、多盐雾气候环境使用要求，做好防腐、防潮、防风、防雷防静电防护措施。</w:t>
      </w:r>
    </w:p>
    <w:p w14:paraId="4DC6D90D">
      <w:pPr>
        <w:pStyle w:val="165"/>
      </w:pPr>
      <w:r>
        <w:rPr>
          <w:rFonts w:hint="eastAsia"/>
        </w:rPr>
        <w:t>经营场地应设置明显的安全警示标识和应急疏散路线图，标识的图形符号应符合</w:t>
      </w:r>
      <w:bookmarkStart w:id="42" w:name="OLE_LINK11"/>
      <w:r>
        <w:rPr>
          <w:rFonts w:hint="eastAsia"/>
        </w:rPr>
        <w:t>GB/T 10001.1</w:t>
      </w:r>
      <w:bookmarkEnd w:id="42"/>
      <w:r>
        <w:rPr>
          <w:rFonts w:hint="eastAsia"/>
        </w:rPr>
        <w:t>和</w:t>
      </w:r>
      <w:bookmarkStart w:id="43" w:name="OLE_LINK12"/>
      <w:r>
        <w:rPr>
          <w:rFonts w:hint="eastAsia"/>
        </w:rPr>
        <w:t>GB/T 10001.2</w:t>
      </w:r>
      <w:bookmarkEnd w:id="43"/>
      <w:r>
        <w:rPr>
          <w:rFonts w:hint="eastAsia"/>
        </w:rPr>
        <w:t>的规定。</w:t>
      </w:r>
    </w:p>
    <w:p w14:paraId="5387C969">
      <w:pPr>
        <w:pStyle w:val="165"/>
      </w:pPr>
      <w:r>
        <w:rPr>
          <w:rFonts w:hint="eastAsia"/>
        </w:rPr>
        <w:t>游客候机区和上下机区域应设置专用的安全通道和等候区域，地面应设置防滑处理。</w:t>
      </w:r>
    </w:p>
    <w:p w14:paraId="6355C92A">
      <w:pPr>
        <w:pStyle w:val="105"/>
        <w:spacing w:before="120" w:after="120"/>
      </w:pPr>
      <w:r>
        <w:rPr>
          <w:rFonts w:hint="eastAsia"/>
        </w:rPr>
        <w:t>经营管理要求</w:t>
      </w:r>
    </w:p>
    <w:p w14:paraId="1EE386B5">
      <w:pPr>
        <w:pStyle w:val="165"/>
      </w:pPr>
      <w:r>
        <w:rPr>
          <w:rFonts w:hint="eastAsia"/>
        </w:rPr>
        <w:t>应建立健全科学、规范的管理制度，包括但不限于：</w:t>
      </w:r>
    </w:p>
    <w:p w14:paraId="579A5208">
      <w:pPr>
        <w:pStyle w:val="174"/>
      </w:pPr>
      <w:r>
        <w:rPr>
          <w:rFonts w:hint="eastAsia"/>
        </w:rPr>
        <w:t>安全管理制度（含航空安全、地面安全、消防安全、海上安全等）；</w:t>
      </w:r>
    </w:p>
    <w:p w14:paraId="4188F95B">
      <w:pPr>
        <w:pStyle w:val="174"/>
      </w:pPr>
      <w:r>
        <w:rPr>
          <w:rFonts w:hint="eastAsia"/>
        </w:rPr>
        <w:t>服务质量管理制度（含服务规范、服务监督、投诉处理等）；</w:t>
      </w:r>
    </w:p>
    <w:p w14:paraId="365959EE">
      <w:pPr>
        <w:pStyle w:val="174"/>
      </w:pPr>
      <w:r>
        <w:rPr>
          <w:rFonts w:hint="eastAsia"/>
        </w:rPr>
        <w:t>应急预案管理制度（含飞行事故、突发气象、海上搜救、医疗急救等）；</w:t>
      </w:r>
    </w:p>
    <w:p w14:paraId="1654F1F9">
      <w:pPr>
        <w:pStyle w:val="174"/>
      </w:pPr>
      <w:r>
        <w:rPr>
          <w:rFonts w:hint="eastAsia"/>
        </w:rPr>
        <w:t>人员管理制度（含岗位职责、资质培训、绩效考核等）；</w:t>
      </w:r>
    </w:p>
    <w:p w14:paraId="0353FF22">
      <w:pPr>
        <w:pStyle w:val="174"/>
      </w:pPr>
      <w:r>
        <w:rPr>
          <w:rFonts w:hint="eastAsia"/>
        </w:rPr>
        <w:t>设施设备管理制度（含日常维护、定期检修、更新报废等）；</w:t>
      </w:r>
    </w:p>
    <w:p w14:paraId="57F8D7FB">
      <w:pPr>
        <w:pStyle w:val="174"/>
      </w:pPr>
      <w:r>
        <w:rPr>
          <w:rFonts w:hint="eastAsia"/>
        </w:rPr>
        <w:t>环境与生态保护管理制度。</w:t>
      </w:r>
    </w:p>
    <w:p w14:paraId="4A53B3B7">
      <w:pPr>
        <w:pStyle w:val="165"/>
      </w:pPr>
      <w:r>
        <w:rPr>
          <w:rFonts w:hint="eastAsia"/>
        </w:rPr>
        <w:t>应建立低空观光旅游安全运营台账管理制度，完整记录飞行计划、气象信息、飞行任务日志、设备检查记录、游客信息、安全事件等关键数据，台账资料留存期限不少于3年。</w:t>
      </w:r>
    </w:p>
    <w:p w14:paraId="54BB89E6">
      <w:pPr>
        <w:pStyle w:val="165"/>
      </w:pPr>
      <w:r>
        <w:rPr>
          <w:rFonts w:hint="eastAsia"/>
        </w:rPr>
        <w:t>应统一公示飞行线路、飞行时长、载客人数、收费标准、退改规则、安全禁忌、服务承诺等内容，不应虚假宣传、捆绑消费、隐形加价。</w:t>
      </w:r>
    </w:p>
    <w:p w14:paraId="670D1EEE">
      <w:pPr>
        <w:pStyle w:val="165"/>
      </w:pPr>
      <w:r>
        <w:rPr>
          <w:rFonts w:hint="eastAsia"/>
        </w:rPr>
        <w:t>宜投保航空器机身险（机身险不低于航空器评估价值）、第三者责任险（每座不低于人民币60万元）、机组人员意外险、游客人身意外伤害险等险种，保障额度满足行业运营及文旅服务风险保障要求。</w:t>
      </w:r>
    </w:p>
    <w:p w14:paraId="64037333">
      <w:pPr>
        <w:pStyle w:val="165"/>
      </w:pPr>
      <w:r>
        <w:rPr>
          <w:rFonts w:hint="eastAsia"/>
        </w:rPr>
        <w:t>应建立游客信息保护制度，严格保护游客个人隐私信息，未经游客本人书面同意，不应向第三方泄露。</w:t>
      </w:r>
    </w:p>
    <w:p w14:paraId="38F44C5E">
      <w:pPr>
        <w:pStyle w:val="104"/>
        <w:spacing w:before="240" w:after="240"/>
      </w:pPr>
      <w:r>
        <w:rPr>
          <w:rFonts w:hint="eastAsia"/>
        </w:rPr>
        <w:t>服务设备与设施</w:t>
      </w:r>
    </w:p>
    <w:p w14:paraId="15BD5252">
      <w:pPr>
        <w:pStyle w:val="105"/>
        <w:spacing w:before="120" w:after="120"/>
      </w:pPr>
      <w:r>
        <w:rPr>
          <w:rFonts w:hint="eastAsia"/>
        </w:rPr>
        <w:t>地面服务设施</w:t>
      </w:r>
    </w:p>
    <w:p w14:paraId="64880154">
      <w:pPr>
        <w:pStyle w:val="165"/>
      </w:pPr>
      <w:r>
        <w:rPr>
          <w:rFonts w:hint="eastAsia"/>
        </w:rPr>
        <w:t>起降场地应按照航空器类型合理设置符合适航要求的起降坪、机库、停机坪、滑行道等设施，具备相应的安全防护措施。</w:t>
      </w:r>
    </w:p>
    <w:p w14:paraId="7833730A">
      <w:pPr>
        <w:pStyle w:val="165"/>
      </w:pPr>
      <w:r>
        <w:rPr>
          <w:rFonts w:hint="eastAsia"/>
        </w:rPr>
        <w:t>停机坪和起降坪应做防滑处理，并设置明确的标识和边界，靠近海滨的设施应考虑防腐蚀处理。</w:t>
      </w:r>
    </w:p>
    <w:p w14:paraId="3FE158FC">
      <w:pPr>
        <w:pStyle w:val="165"/>
      </w:pPr>
      <w:r>
        <w:rPr>
          <w:rFonts w:hint="eastAsia"/>
        </w:rPr>
        <w:t>候机区应设置安全隔离设施，将候机区域与飞行器运行区域有效分离，确保游客安全。</w:t>
      </w:r>
    </w:p>
    <w:p w14:paraId="1E97573A">
      <w:pPr>
        <w:pStyle w:val="165"/>
      </w:pPr>
      <w:r>
        <w:rPr>
          <w:rFonts w:hint="eastAsia"/>
        </w:rPr>
        <w:t>游客服务中心或票务服务点应设置：</w:t>
      </w:r>
    </w:p>
    <w:p w14:paraId="2807B0D8">
      <w:pPr>
        <w:pStyle w:val="174"/>
        <w:numPr>
          <w:ilvl w:val="0"/>
          <w:numId w:val="32"/>
        </w:numPr>
      </w:pPr>
      <w:r>
        <w:rPr>
          <w:rFonts w:hint="eastAsia"/>
        </w:rPr>
        <w:t>公示服务项目、价格、飞行路线和游览时间等信息；</w:t>
      </w:r>
    </w:p>
    <w:p w14:paraId="58DFE75B">
      <w:pPr>
        <w:pStyle w:val="174"/>
      </w:pPr>
      <w:r>
        <w:rPr>
          <w:rFonts w:hint="eastAsia"/>
        </w:rPr>
        <w:t>现场售票和网络取票窗口；</w:t>
      </w:r>
    </w:p>
    <w:p w14:paraId="2DEDA2CF">
      <w:pPr>
        <w:pStyle w:val="174"/>
      </w:pPr>
      <w:r>
        <w:rPr>
          <w:rFonts w:hint="eastAsia"/>
        </w:rPr>
        <w:t>休憩座椅、便民饮水、公共卫生间等基础滨海旅游配套设施；</w:t>
      </w:r>
    </w:p>
    <w:p w14:paraId="475A9EF1">
      <w:pPr>
        <w:pStyle w:val="174"/>
      </w:pPr>
      <w:r>
        <w:rPr>
          <w:rFonts w:hint="eastAsia"/>
        </w:rPr>
        <w:t>安全须知和安全教育展示区；</w:t>
      </w:r>
    </w:p>
    <w:p w14:paraId="75FC640A">
      <w:pPr>
        <w:pStyle w:val="174"/>
      </w:pPr>
      <w:r>
        <w:rPr>
          <w:rFonts w:hint="eastAsia"/>
        </w:rPr>
        <w:t>常用应急药品、应急救护简易器材。</w:t>
      </w:r>
    </w:p>
    <w:p w14:paraId="0C7C15F3">
      <w:pPr>
        <w:pStyle w:val="105"/>
        <w:spacing w:before="120" w:after="120"/>
      </w:pPr>
      <w:r>
        <w:rPr>
          <w:rFonts w:hint="eastAsia"/>
        </w:rPr>
        <w:t>低空航空器与航空设备</w:t>
      </w:r>
    </w:p>
    <w:p w14:paraId="08433562">
      <w:pPr>
        <w:pStyle w:val="165"/>
      </w:pPr>
      <w:r>
        <w:rPr>
          <w:rFonts w:hint="eastAsia"/>
        </w:rPr>
        <w:t>用于低空观光旅游的低空航空器应满足以下条件：</w:t>
      </w:r>
    </w:p>
    <w:p w14:paraId="6A282FEC">
      <w:pPr>
        <w:pStyle w:val="174"/>
        <w:numPr>
          <w:ilvl w:val="0"/>
          <w:numId w:val="33"/>
        </w:numPr>
      </w:pPr>
      <w:r>
        <w:rPr>
          <w:rFonts w:hint="eastAsia"/>
        </w:rPr>
        <w:t>取得适航证，并按照民航规章保持持续适航状态；</w:t>
      </w:r>
    </w:p>
    <w:p w14:paraId="092C191C">
      <w:pPr>
        <w:pStyle w:val="174"/>
      </w:pPr>
      <w:r>
        <w:rPr>
          <w:rFonts w:hint="eastAsia"/>
        </w:rPr>
        <w:t>配备相应的安全设备，包括但不限于安全带、救生衣、应急定位发射器、漂浮装置（海上飞行时）等；</w:t>
      </w:r>
    </w:p>
    <w:p w14:paraId="5876F3D6">
      <w:pPr>
        <w:pStyle w:val="174"/>
      </w:pPr>
      <w:r>
        <w:rPr>
          <w:rFonts w:hint="eastAsia"/>
        </w:rPr>
        <w:t>配备必要的通信导航设备，能与运行控制中心保持实时通信联系；</w:t>
      </w:r>
    </w:p>
    <w:p w14:paraId="28C83DA1">
      <w:pPr>
        <w:pStyle w:val="174"/>
      </w:pPr>
      <w:r>
        <w:rPr>
          <w:rFonts w:hint="eastAsia"/>
        </w:rPr>
        <w:t>定期接受适航检查和维护保养，建立完整的维护档案。</w:t>
      </w:r>
    </w:p>
    <w:p w14:paraId="3B3EBA4A">
      <w:pPr>
        <w:pStyle w:val="165"/>
      </w:pPr>
      <w:r>
        <w:rPr>
          <w:rFonts w:hint="eastAsia"/>
        </w:rPr>
        <w:t>低空航空器机舱应保持清洁卫生，定期进行消毒处理，确保环境卫生。</w:t>
      </w:r>
    </w:p>
    <w:p w14:paraId="49C83B3C">
      <w:pPr>
        <w:pStyle w:val="165"/>
      </w:pPr>
      <w:r>
        <w:rPr>
          <w:rFonts w:hint="eastAsia"/>
        </w:rPr>
        <w:t>低空航空器应做好海上环境下的防腐蚀处理，并按计划开展定期盐雾防护检测和保养维护。</w:t>
      </w:r>
    </w:p>
    <w:p w14:paraId="10ADDF70">
      <w:pPr>
        <w:pStyle w:val="165"/>
      </w:pPr>
      <w:r>
        <w:rPr>
          <w:rFonts w:hint="eastAsia"/>
        </w:rPr>
        <w:t>低空航空器应配备应急漂浮系统或浮筒（适用于海上飞行运营场景），确保在发生迫降海面时具备一定的漂浮和应急能力。</w:t>
      </w:r>
    </w:p>
    <w:p w14:paraId="4CFF1FE8">
      <w:pPr>
        <w:pStyle w:val="105"/>
        <w:spacing w:before="120" w:after="120"/>
      </w:pPr>
      <w:r>
        <w:rPr>
          <w:rFonts w:hint="eastAsia"/>
        </w:rPr>
        <w:t>通信导航与监控设施</w:t>
      </w:r>
    </w:p>
    <w:p w14:paraId="112FD0E0">
      <w:pPr>
        <w:pStyle w:val="165"/>
      </w:pPr>
      <w:r>
        <w:rPr>
          <w:rFonts w:hint="eastAsia"/>
        </w:rPr>
        <w:t>应建立运行控制中心，具备以下功能：</w:t>
      </w:r>
    </w:p>
    <w:p w14:paraId="495F7691">
      <w:pPr>
        <w:pStyle w:val="174"/>
        <w:numPr>
          <w:ilvl w:val="0"/>
          <w:numId w:val="34"/>
        </w:numPr>
      </w:pPr>
      <w:r>
        <w:rPr>
          <w:rFonts w:hint="eastAsia"/>
        </w:rPr>
        <w:t>实时监控低空航空器的位置、高度、速度和航线偏离情况；</w:t>
      </w:r>
    </w:p>
    <w:p w14:paraId="2426ED04">
      <w:pPr>
        <w:pStyle w:val="174"/>
      </w:pPr>
      <w:r>
        <w:rPr>
          <w:rFonts w:hint="eastAsia"/>
        </w:rPr>
        <w:t>与低空航空器保持双向语音和数据通信；</w:t>
      </w:r>
    </w:p>
    <w:p w14:paraId="32E13C17">
      <w:pPr>
        <w:pStyle w:val="174"/>
      </w:pPr>
      <w:r>
        <w:rPr>
          <w:rFonts w:hint="eastAsia"/>
        </w:rPr>
        <w:t>实时接收和显示气象信息（含海面风场、能见度、云底高等）；</w:t>
      </w:r>
    </w:p>
    <w:p w14:paraId="1F204F1F">
      <w:pPr>
        <w:pStyle w:val="174"/>
      </w:pPr>
      <w:r>
        <w:rPr>
          <w:rFonts w:hint="eastAsia"/>
        </w:rPr>
        <w:t>与服务区域内的民航管制单位、海上搜救中心建立联动通信渠道。</w:t>
      </w:r>
    </w:p>
    <w:p w14:paraId="7DD46272">
      <w:pPr>
        <w:pStyle w:val="165"/>
      </w:pPr>
      <w:r>
        <w:rPr>
          <w:rFonts w:hint="eastAsia"/>
        </w:rPr>
        <w:t>运行控制中心应配备备用电源和备用通信设备，确保在主通信系统故障时的应急运行能力。</w:t>
      </w:r>
    </w:p>
    <w:p w14:paraId="7B1A9650">
      <w:pPr>
        <w:pStyle w:val="165"/>
      </w:pPr>
      <w:r>
        <w:rPr>
          <w:rFonts w:hint="eastAsia"/>
        </w:rPr>
        <w:t>根据主管部门要求接入监管服务平台，完成飞行数据、运营数据、班次数据实时上传报备。</w:t>
      </w:r>
    </w:p>
    <w:p w14:paraId="4884C553">
      <w:pPr>
        <w:pStyle w:val="105"/>
        <w:spacing w:before="120" w:after="120"/>
      </w:pPr>
      <w:r>
        <w:rPr>
          <w:rFonts w:hint="eastAsia"/>
        </w:rPr>
        <w:t>安全应急设施</w:t>
      </w:r>
    </w:p>
    <w:p w14:paraId="6BD8B051">
      <w:pPr>
        <w:pStyle w:val="165"/>
      </w:pPr>
      <w:r>
        <w:rPr>
          <w:rFonts w:hint="eastAsia"/>
        </w:rPr>
        <w:t>应配备必要的应急救援设备和器材，包括但不限于：</w:t>
      </w:r>
    </w:p>
    <w:p w14:paraId="21491520">
      <w:pPr>
        <w:pStyle w:val="174"/>
        <w:numPr>
          <w:ilvl w:val="0"/>
          <w:numId w:val="35"/>
        </w:numPr>
      </w:pPr>
      <w:r>
        <w:rPr>
          <w:rFonts w:hint="eastAsia"/>
        </w:rPr>
        <w:t>急救箱和基本医疗急救设备；</w:t>
      </w:r>
    </w:p>
    <w:p w14:paraId="1C9D417C">
      <w:pPr>
        <w:pStyle w:val="174"/>
      </w:pPr>
      <w:r>
        <w:rPr>
          <w:rFonts w:hint="eastAsia"/>
        </w:rPr>
        <w:t>灭火器材；</w:t>
      </w:r>
    </w:p>
    <w:p w14:paraId="3BEA35CC">
      <w:pPr>
        <w:pStyle w:val="174"/>
      </w:pPr>
      <w:r>
        <w:rPr>
          <w:rFonts w:hint="eastAsia"/>
        </w:rPr>
        <w:t>海上救生设备（包括救生衣、救生圈、救生筏、抛绳器等，在海岛和滨海运营场景中尤为必要）；</w:t>
      </w:r>
    </w:p>
    <w:p w14:paraId="3E1BE429">
      <w:pPr>
        <w:pStyle w:val="174"/>
      </w:pPr>
      <w:r>
        <w:rPr>
          <w:rFonts w:hint="eastAsia"/>
        </w:rPr>
        <w:t>应急照明和应急通信设备；</w:t>
      </w:r>
    </w:p>
    <w:p w14:paraId="0514E68A">
      <w:pPr>
        <w:pStyle w:val="174"/>
      </w:pPr>
      <w:r>
        <w:rPr>
          <w:rFonts w:hint="eastAsia"/>
        </w:rPr>
        <w:t>应急发电机和备用电源。</w:t>
      </w:r>
    </w:p>
    <w:p w14:paraId="545FEEBA">
      <w:pPr>
        <w:pStyle w:val="165"/>
      </w:pPr>
      <w:r>
        <w:rPr>
          <w:rFonts w:hint="eastAsia"/>
        </w:rPr>
        <w:t>应建立海上应急救援快速响应机制，与当地海事部门、海上搜救中心、医疗急救机构签订应急救援联动协议。</w:t>
      </w:r>
    </w:p>
    <w:p w14:paraId="6D438503">
      <w:pPr>
        <w:pStyle w:val="165"/>
      </w:pPr>
      <w:r>
        <w:rPr>
          <w:rFonts w:hint="eastAsia"/>
        </w:rPr>
        <w:t>在起降场地附近应设置应急集合点和紧急疏散通道，并设置明显的安全标识。</w:t>
      </w:r>
    </w:p>
    <w:p w14:paraId="73A5B9F6">
      <w:pPr>
        <w:pStyle w:val="105"/>
        <w:spacing w:before="120" w:after="120"/>
      </w:pPr>
      <w:r>
        <w:t>无障碍设施</w:t>
      </w:r>
    </w:p>
    <w:p w14:paraId="608F470E">
      <w:pPr>
        <w:pStyle w:val="56"/>
        <w:ind w:firstLine="420"/>
      </w:pPr>
      <w:r>
        <w:rPr>
          <w:rFonts w:hint="eastAsia"/>
        </w:rPr>
        <w:t>起降场地和游客服务中心应设置无障碍通道、无障碍卫生间及轮椅存放区，方便行动不便人士使用。</w:t>
      </w:r>
    </w:p>
    <w:p w14:paraId="5E9E662E">
      <w:pPr>
        <w:pStyle w:val="104"/>
        <w:spacing w:before="240" w:after="240"/>
      </w:pPr>
      <w:r>
        <w:rPr>
          <w:rFonts w:hint="eastAsia"/>
        </w:rPr>
        <w:t>服务人员</w:t>
      </w:r>
    </w:p>
    <w:p w14:paraId="3A3644D8">
      <w:pPr>
        <w:pStyle w:val="105"/>
        <w:spacing w:before="120" w:after="120"/>
      </w:pPr>
      <w:r>
        <w:rPr>
          <w:rFonts w:hint="eastAsia"/>
        </w:rPr>
        <w:t xml:space="preserve">岗位资质 </w:t>
      </w:r>
      <w:r>
        <w:t xml:space="preserve"> </w:t>
      </w:r>
    </w:p>
    <w:p w14:paraId="3C9B073F">
      <w:pPr>
        <w:pStyle w:val="165"/>
      </w:pPr>
      <w:r>
        <w:rPr>
          <w:rFonts w:hint="eastAsia"/>
        </w:rPr>
        <w:t>通用航空飞行驾驶人员应持有中国民用航空局颁发的有效飞行执照，具备所驾驶机型相应的等级签注，且体检合格、技术熟练。</w:t>
      </w:r>
    </w:p>
    <w:p w14:paraId="77FBB67F">
      <w:pPr>
        <w:pStyle w:val="165"/>
      </w:pPr>
      <w:r>
        <w:rPr>
          <w:rFonts w:hint="eastAsia"/>
        </w:rPr>
        <w:t>飞行驾驶人员应具有不少于规定的最低飞行经历小时数，并定期完成熟练检查和复训。</w:t>
      </w:r>
    </w:p>
    <w:p w14:paraId="4A709C1F">
      <w:pPr>
        <w:pStyle w:val="165"/>
      </w:pPr>
      <w:r>
        <w:rPr>
          <w:rFonts w:hint="eastAsia"/>
        </w:rPr>
        <w:t>维修保障人员应持有民用航空器维修人员执照，具备所维护机型相应的机型签署资格，并按规定完成继续教育和复训。</w:t>
      </w:r>
    </w:p>
    <w:p w14:paraId="4BE81F0B">
      <w:pPr>
        <w:pStyle w:val="165"/>
      </w:pPr>
      <w:r>
        <w:rPr>
          <w:rFonts w:hint="eastAsia"/>
        </w:rPr>
        <w:t>地面服务人员（包括售票、安检、游客接待、运行控制等岗位）应经过专业培训并考核合格后方可上岗。</w:t>
      </w:r>
    </w:p>
    <w:p w14:paraId="22070F24">
      <w:pPr>
        <w:pStyle w:val="165"/>
      </w:pPr>
      <w:r>
        <w:rPr>
          <w:rFonts w:hint="eastAsia"/>
        </w:rPr>
        <w:t>安全管理人员（含专职安全员）应经过专业安全培训并取得相应资格，了解海上航空应急处置和海上救援的基本知识。</w:t>
      </w:r>
    </w:p>
    <w:p w14:paraId="56232644">
      <w:pPr>
        <w:pStyle w:val="165"/>
      </w:pPr>
      <w:r>
        <w:rPr>
          <w:rFonts w:hint="eastAsia"/>
        </w:rPr>
        <w:t>涉及海上救援的岗位人员应接受海上救生和急救技能培训，并取得相应资格证书。</w:t>
      </w:r>
    </w:p>
    <w:p w14:paraId="2AA42A55">
      <w:pPr>
        <w:pStyle w:val="105"/>
        <w:spacing w:before="120" w:after="120"/>
      </w:pPr>
      <w:r>
        <w:t>知识技能</w:t>
      </w:r>
    </w:p>
    <w:p w14:paraId="0FF79664">
      <w:pPr>
        <w:pStyle w:val="165"/>
      </w:pPr>
      <w:bookmarkStart w:id="44" w:name="OLE_LINK15"/>
      <w:r>
        <w:rPr>
          <w:rFonts w:hint="eastAsia"/>
        </w:rPr>
        <w:t>飞行驾驶人员</w:t>
      </w:r>
      <w:bookmarkEnd w:id="44"/>
      <w:r>
        <w:rPr>
          <w:rFonts w:hint="eastAsia"/>
        </w:rPr>
        <w:t>应熟悉海岸带海域气象特点、海陆风变化、滨海复杂地形、既定观光飞行航线，熟练掌握海上低空应急处置流程。</w:t>
      </w:r>
    </w:p>
    <w:p w14:paraId="08C815B8">
      <w:pPr>
        <w:pStyle w:val="165"/>
      </w:pPr>
      <w:r>
        <w:rPr>
          <w:rFonts w:hint="eastAsia"/>
        </w:rPr>
        <w:t>飞行驾驶人员定期参加机型复训、滨海低空飞行专项培训、海上应急救援演练，年度培训及实操考核全部合格后方可上岗执勤。</w:t>
      </w:r>
    </w:p>
    <w:p w14:paraId="320F6B73">
      <w:pPr>
        <w:pStyle w:val="165"/>
      </w:pPr>
      <w:r>
        <w:rPr>
          <w:rFonts w:hint="eastAsia"/>
        </w:rPr>
        <w:t>服务人员应熟练掌握空中游览的服务标准和应急措施，能够准确回答游客关于飞行安全和服务流程的咨询。</w:t>
      </w:r>
    </w:p>
    <w:p w14:paraId="46336892">
      <w:pPr>
        <w:pStyle w:val="165"/>
      </w:pPr>
      <w:r>
        <w:rPr>
          <w:rFonts w:hint="eastAsia"/>
        </w:rPr>
        <w:t>服务人员应具备良好的沟通能力和服务意识，能够妥善处理服务过程中出现的各类问题。</w:t>
      </w:r>
    </w:p>
    <w:p w14:paraId="38F8E9FC">
      <w:pPr>
        <w:pStyle w:val="165"/>
      </w:pPr>
      <w:r>
        <w:rPr>
          <w:rFonts w:hint="eastAsia"/>
        </w:rPr>
        <w:t>票务接待、咨询引导、现场服务人员应完成服务礼仪、低空安全基础知识、游客沟通服务岗前培训。</w:t>
      </w:r>
    </w:p>
    <w:p w14:paraId="7ECE83A6">
      <w:pPr>
        <w:pStyle w:val="165"/>
      </w:pPr>
      <w:r>
        <w:rPr>
          <w:rFonts w:hint="eastAsia"/>
        </w:rPr>
        <w:t>安检工作人员应熟练掌握民航及低空飞行禁限带物品目录，严格落实登机前安全查验流程。</w:t>
      </w:r>
    </w:p>
    <w:p w14:paraId="711CF2A9">
      <w:pPr>
        <w:pStyle w:val="165"/>
      </w:pPr>
      <w:r>
        <w:rPr>
          <w:rFonts w:hint="eastAsia"/>
        </w:rPr>
        <w:t>安全管理人员应熟知海岸带飞行天气阈值、禁飞条件、人员疏散流程、突发情况初步处置方式。</w:t>
      </w:r>
    </w:p>
    <w:p w14:paraId="21519ACA">
      <w:pPr>
        <w:pStyle w:val="165"/>
      </w:pPr>
      <w:r>
        <w:rPr>
          <w:rFonts w:hint="eastAsia"/>
        </w:rPr>
        <w:t>讲解服务人员应熟悉沿线海岸带自然景观、海洋文化、滨海人文历史、景区文旅资源基础讲解内容。</w:t>
      </w:r>
    </w:p>
    <w:p w14:paraId="01C7961C">
      <w:pPr>
        <w:pStyle w:val="165"/>
      </w:pPr>
      <w:r>
        <w:rPr>
          <w:rFonts w:hint="eastAsia"/>
        </w:rPr>
        <w:t>维修保障人员应严格按照维保规程完成每日飞行前检查、定期定检、故障排查检修。</w:t>
      </w:r>
    </w:p>
    <w:p w14:paraId="4C099557">
      <w:pPr>
        <w:pStyle w:val="165"/>
      </w:pPr>
      <w:r>
        <w:rPr>
          <w:rFonts w:hint="eastAsia"/>
        </w:rPr>
        <w:t>飞行调度人员应熟悉空域报备流程、气象研判标准、飞行排班规则，合理统筹观光飞行班次与航线。</w:t>
      </w:r>
    </w:p>
    <w:p w14:paraId="1B6888D2">
      <w:pPr>
        <w:pStyle w:val="165"/>
      </w:pPr>
      <w:r>
        <w:rPr>
          <w:rFonts w:hint="eastAsia"/>
        </w:rPr>
        <w:t>宜配备至少1名具备英语或常用外语沟通能力的服务人员，满足国际游客基本沟通需求。</w:t>
      </w:r>
    </w:p>
    <w:p w14:paraId="5D9A3C92">
      <w:pPr>
        <w:pStyle w:val="105"/>
        <w:spacing w:before="120" w:after="120"/>
      </w:pPr>
      <w:r>
        <w:rPr>
          <w:rFonts w:hint="eastAsia"/>
        </w:rPr>
        <w:t>服务礼仪与行为规范</w:t>
      </w:r>
    </w:p>
    <w:p w14:paraId="6A971FB0">
      <w:pPr>
        <w:pStyle w:val="165"/>
      </w:pPr>
      <w:r>
        <w:rPr>
          <w:rFonts w:hint="eastAsia"/>
        </w:rPr>
        <w:t>服务人员应着装整洁、仪容端庄，佩戴工牌或服务标识。</w:t>
      </w:r>
    </w:p>
    <w:p w14:paraId="13713B19">
      <w:pPr>
        <w:pStyle w:val="165"/>
      </w:pPr>
      <w:r>
        <w:rPr>
          <w:rFonts w:hint="eastAsia"/>
        </w:rPr>
        <w:t>接待游客时应主动热情、态度亲切、用语文明，使用普通话和必要的服务英语开展服务。</w:t>
      </w:r>
    </w:p>
    <w:p w14:paraId="11B649E7">
      <w:pPr>
        <w:pStyle w:val="165"/>
      </w:pPr>
      <w:r>
        <w:rPr>
          <w:rFonts w:hint="eastAsia"/>
        </w:rPr>
        <w:t>服务人员在飞行过程中不应从事与服务无关的活动，不应在飞行过程中使用手机等非必要电子设备。</w:t>
      </w:r>
    </w:p>
    <w:p w14:paraId="46624542">
      <w:pPr>
        <w:pStyle w:val="165"/>
      </w:pPr>
      <w:r>
        <w:rPr>
          <w:rFonts w:hint="eastAsia"/>
        </w:rPr>
        <w:t>不应索要或变相索要小费，不应强制或变相强制游客接受额外收费服务。</w:t>
      </w:r>
    </w:p>
    <w:p w14:paraId="7142AA6B">
      <w:pPr>
        <w:pStyle w:val="105"/>
        <w:spacing w:before="120" w:after="120"/>
      </w:pPr>
      <w:r>
        <w:rPr>
          <w:rFonts w:hint="eastAsia"/>
        </w:rPr>
        <w:t>健康与安全管理</w:t>
      </w:r>
    </w:p>
    <w:p w14:paraId="67E74AB7">
      <w:pPr>
        <w:pStyle w:val="165"/>
      </w:pPr>
      <w:r>
        <w:rPr>
          <w:rFonts w:hint="eastAsia"/>
        </w:rPr>
        <w:t>服务人员应持有有效的健康证明。飞行驾驶人员和维修保障人员应当按照民航规章要求定期进行体检。</w:t>
      </w:r>
    </w:p>
    <w:p w14:paraId="4E8B9888">
      <w:pPr>
        <w:pStyle w:val="165"/>
      </w:pPr>
      <w:r>
        <w:rPr>
          <w:rFonts w:hint="eastAsia"/>
        </w:rPr>
        <w:t>飞行驾驶人员和机组服务人员在执行任务前应接受酒精和药物检测，不应饮酒后或服用影响安全的药物后上岗。</w:t>
      </w:r>
    </w:p>
    <w:p w14:paraId="5B598D03">
      <w:pPr>
        <w:pStyle w:val="165"/>
      </w:pPr>
      <w:r>
        <w:rPr>
          <w:rFonts w:hint="eastAsia"/>
        </w:rPr>
        <w:t>应建立服务人员心理健康关怀机制，定期开展心理状态评估和心理疏导，确保服务人员以良好状态投入工作。</w:t>
      </w:r>
    </w:p>
    <w:p w14:paraId="732ADFCA">
      <w:pPr>
        <w:pStyle w:val="104"/>
        <w:spacing w:before="240" w:after="240"/>
      </w:pPr>
      <w:r>
        <w:t>服务流程</w:t>
      </w:r>
    </w:p>
    <w:p w14:paraId="357CF8BF">
      <w:pPr>
        <w:pStyle w:val="105"/>
        <w:spacing w:before="120" w:after="120"/>
      </w:pPr>
      <w:r>
        <w:t>信息发布与咨询服务</w:t>
      </w:r>
    </w:p>
    <w:p w14:paraId="58D861DB">
      <w:pPr>
        <w:pStyle w:val="165"/>
      </w:pPr>
      <w:r>
        <w:rPr>
          <w:rFonts w:hint="eastAsia"/>
        </w:rPr>
        <w:t>应以线上和线下方式向游客公示以下信息：</w:t>
      </w:r>
    </w:p>
    <w:p w14:paraId="3B0B30D8">
      <w:pPr>
        <w:pStyle w:val="174"/>
        <w:numPr>
          <w:ilvl w:val="0"/>
          <w:numId w:val="36"/>
        </w:numPr>
      </w:pPr>
      <w:r>
        <w:rPr>
          <w:rFonts w:hint="eastAsia"/>
        </w:rPr>
        <w:t>经营资质（营业执照、通用航空经营许可证等）；</w:t>
      </w:r>
    </w:p>
    <w:p w14:paraId="715FD501">
      <w:pPr>
        <w:pStyle w:val="174"/>
      </w:pPr>
      <w:r>
        <w:rPr>
          <w:rFonts w:hint="eastAsia"/>
        </w:rPr>
        <w:t>服务项目、飞行路线、游览时长、飞行器型号、单次最大载客量；</w:t>
      </w:r>
    </w:p>
    <w:p w14:paraId="745485BB">
      <w:pPr>
        <w:pStyle w:val="174"/>
      </w:pPr>
      <w:r>
        <w:rPr>
          <w:rFonts w:hint="eastAsia"/>
        </w:rPr>
        <w:t>收费项目和收费标准，价格应在显著位置及多平台公示，做到价格透明，无隐性收费；</w:t>
      </w:r>
    </w:p>
    <w:p w14:paraId="1F371173">
      <w:pPr>
        <w:pStyle w:val="174"/>
      </w:pPr>
      <w:r>
        <w:rPr>
          <w:rFonts w:hint="eastAsia"/>
        </w:rPr>
        <w:t>游客乘机条件和限制；</w:t>
      </w:r>
    </w:p>
    <w:p w14:paraId="3AEEDC51">
      <w:pPr>
        <w:pStyle w:val="174"/>
      </w:pPr>
      <w:r>
        <w:rPr>
          <w:rFonts w:hint="eastAsia"/>
        </w:rPr>
        <w:t>安全须知和警示事项。</w:t>
      </w:r>
    </w:p>
    <w:p w14:paraId="011F33A4">
      <w:pPr>
        <w:pStyle w:val="165"/>
      </w:pPr>
      <w:r>
        <w:rPr>
          <w:rFonts w:hint="eastAsia"/>
        </w:rPr>
        <w:t>应通过官方网站、微信公众号、小程序等多种线上渠道发布服务信息和优惠活动，支持游客在线查询和咨询。</w:t>
      </w:r>
    </w:p>
    <w:p w14:paraId="433E101A">
      <w:pPr>
        <w:pStyle w:val="165"/>
      </w:pPr>
      <w:r>
        <w:rPr>
          <w:rFonts w:hint="eastAsia"/>
        </w:rPr>
        <w:t>应如实告知游客飞行游览的适宜性和安全性。遇有游客患有高血压、心脏病、恐高症等不适宜乘机的情形，应主动告知并劝导。</w:t>
      </w:r>
    </w:p>
    <w:p w14:paraId="4D705846">
      <w:pPr>
        <w:pStyle w:val="105"/>
        <w:spacing w:before="120" w:after="120"/>
      </w:pPr>
      <w:r>
        <w:t>预约</w:t>
      </w:r>
      <w:r>
        <w:rPr>
          <w:rFonts w:hint="eastAsia"/>
        </w:rPr>
        <w:t>与</w:t>
      </w:r>
      <w:r>
        <w:t>销售服务</w:t>
      </w:r>
    </w:p>
    <w:p w14:paraId="26010AE9">
      <w:pPr>
        <w:pStyle w:val="165"/>
      </w:pPr>
      <w:r>
        <w:rPr>
          <w:rFonts w:hint="eastAsia"/>
        </w:rPr>
        <w:t>开通线上平台、电话、线下现场等多元化预订渠道，预订流程简洁便捷。</w:t>
      </w:r>
    </w:p>
    <w:p w14:paraId="27DD4CAB">
      <w:pPr>
        <w:pStyle w:val="165"/>
      </w:pPr>
      <w:r>
        <w:rPr>
          <w:rFonts w:hint="eastAsia"/>
        </w:rPr>
        <w:t>预订阶段如实告知适宜乘机人群、禁止乘机人群、飞行限制条件、天气停飞规则及改签退票相关规定。</w:t>
      </w:r>
    </w:p>
    <w:p w14:paraId="15C27EC0">
      <w:pPr>
        <w:pStyle w:val="165"/>
      </w:pPr>
      <w:r>
        <w:rPr>
          <w:rFonts w:hint="eastAsia"/>
        </w:rPr>
        <w:t>预订时，应登记游客姓名、有效身份证件号码、联系方式、体重信息、健康状况（有无乘机禁忌症）等必要信息，并妥善保管游客信息。</w:t>
      </w:r>
    </w:p>
    <w:p w14:paraId="21CD57E4">
      <w:pPr>
        <w:pStyle w:val="165"/>
      </w:pPr>
      <w:r>
        <w:rPr>
          <w:rFonts w:hint="eastAsia"/>
        </w:rPr>
        <w:t>预订完成后，应向游客发送预订确认信息，明确游览时间、集合地点、注意事项等。</w:t>
      </w:r>
    </w:p>
    <w:p w14:paraId="6A9627F9">
      <w:pPr>
        <w:pStyle w:val="165"/>
      </w:pPr>
      <w:r>
        <w:rPr>
          <w:rFonts w:hint="eastAsia"/>
        </w:rPr>
        <w:t>因空域管制、恶劣天气、航空管控等不可抗力因素取消飞行活动，应及时告知游客，并提供免费改期或全额退款服务。</w:t>
      </w:r>
    </w:p>
    <w:p w14:paraId="292B2E43">
      <w:pPr>
        <w:pStyle w:val="105"/>
        <w:spacing w:before="120" w:after="120"/>
      </w:pPr>
      <w:r>
        <w:rPr>
          <w:rFonts w:hint="eastAsia"/>
        </w:rPr>
        <w:t>接待服务</w:t>
      </w:r>
    </w:p>
    <w:p w14:paraId="7AE441C4">
      <w:pPr>
        <w:pStyle w:val="165"/>
      </w:pPr>
      <w:r>
        <w:rPr>
          <w:rFonts w:hint="eastAsia"/>
        </w:rPr>
        <w:t>游客到达服务点后，服务人员应主动接待，核对预订信息，办理乘机手续。</w:t>
      </w:r>
    </w:p>
    <w:p w14:paraId="3FF7172D">
      <w:pPr>
        <w:pStyle w:val="165"/>
      </w:pPr>
      <w:r>
        <w:rPr>
          <w:rFonts w:hint="eastAsia"/>
        </w:rPr>
        <w:t>服务人员应核实游客身份信息，确保人证一致。对不符合乘机条件的游客（如未携带有效身份证件的未成年人、醉酒人员等），应婉言谢绝乘机。</w:t>
      </w:r>
    </w:p>
    <w:p w14:paraId="6E3BC61A">
      <w:pPr>
        <w:pStyle w:val="165"/>
      </w:pPr>
      <w:r>
        <w:rPr>
          <w:rFonts w:hint="eastAsia"/>
        </w:rPr>
        <w:t>服务人员应对游客进行危险品安全检查，禁止将易燃易爆、管制刀具等危险品带上飞行器。</w:t>
      </w:r>
    </w:p>
    <w:p w14:paraId="4B368C05">
      <w:pPr>
        <w:pStyle w:val="165"/>
      </w:pPr>
      <w:r>
        <w:rPr>
          <w:rFonts w:hint="eastAsia"/>
        </w:rPr>
        <w:t>服务人员应在游客乘机前称量游客体重，确认飞行器配载平衡符合安全要求。对超重游客，应当告知超重对飞行安全的影响，协商处理。</w:t>
      </w:r>
    </w:p>
    <w:p w14:paraId="5C6C3FB5">
      <w:pPr>
        <w:pStyle w:val="165"/>
      </w:pPr>
      <w:r>
        <w:rPr>
          <w:rFonts w:hint="eastAsia"/>
        </w:rPr>
        <w:t>应为游客提供必要的安全装备，包括救生衣（海上飞行必要配备）等，并指导游客正确穿戴。</w:t>
      </w:r>
    </w:p>
    <w:p w14:paraId="676B659F">
      <w:pPr>
        <w:pStyle w:val="165"/>
      </w:pPr>
      <w:bookmarkStart w:id="45" w:name="OLE_LINK2"/>
      <w:bookmarkStart w:id="46" w:name="OLE_LINK3"/>
      <w:r>
        <w:rPr>
          <w:rFonts w:hint="eastAsia"/>
        </w:rPr>
        <w:t>服务人员</w:t>
      </w:r>
      <w:bookmarkEnd w:id="45"/>
      <w:bookmarkEnd w:id="46"/>
      <w:r>
        <w:rPr>
          <w:rFonts w:hint="eastAsia"/>
        </w:rPr>
        <w:t>应在飞行器起飞前完成对航空器、安全设备和乘机环境的最后检查，确保符合安全飞行条件。</w:t>
      </w:r>
    </w:p>
    <w:p w14:paraId="365F542E">
      <w:pPr>
        <w:pStyle w:val="165"/>
      </w:pPr>
      <w:r>
        <w:rPr>
          <w:rFonts w:hint="eastAsia"/>
        </w:rPr>
        <w:t>服务人员物品安全检查，严禁易燃易爆物品、管制器具及各类危险物品带入飞行机舱。</w:t>
      </w:r>
    </w:p>
    <w:p w14:paraId="329F7E64">
      <w:pPr>
        <w:pStyle w:val="105"/>
        <w:spacing w:before="120" w:after="120"/>
      </w:pPr>
      <w:r>
        <w:rPr>
          <w:rFonts w:hint="eastAsia"/>
        </w:rPr>
        <w:t>飞行前准备服务</w:t>
      </w:r>
    </w:p>
    <w:p w14:paraId="002F07A8">
      <w:pPr>
        <w:pStyle w:val="165"/>
      </w:pPr>
      <w:r>
        <w:rPr>
          <w:rFonts w:hint="eastAsia"/>
        </w:rPr>
        <w:t>飞行前，服务人员应通过现场讲解、视频播放、宣传资料等多种方式对游客进行乘前讲解。讲解内容包括但不限于：</w:t>
      </w:r>
    </w:p>
    <w:p w14:paraId="2CC1E14A">
      <w:pPr>
        <w:pStyle w:val="174"/>
        <w:numPr>
          <w:ilvl w:val="0"/>
          <w:numId w:val="37"/>
        </w:numPr>
      </w:pPr>
      <w:r>
        <w:rPr>
          <w:rFonts w:hint="eastAsia"/>
        </w:rPr>
        <w:t>飞行器的基本构造和乘坐须知；</w:t>
      </w:r>
    </w:p>
    <w:p w14:paraId="12A3DE84">
      <w:pPr>
        <w:pStyle w:val="174"/>
      </w:pPr>
      <w:r>
        <w:rPr>
          <w:rFonts w:hint="eastAsia"/>
        </w:rPr>
        <w:t>安全带等安全设备的正确使用方法；</w:t>
      </w:r>
    </w:p>
    <w:p w14:paraId="25DBFB27">
      <w:pPr>
        <w:pStyle w:val="174"/>
      </w:pPr>
      <w:r>
        <w:rPr>
          <w:rFonts w:hint="eastAsia"/>
        </w:rPr>
        <w:t>紧急情况下的应急措施（含海上迫降后的求生方法）；</w:t>
      </w:r>
    </w:p>
    <w:p w14:paraId="194F35D2">
      <w:pPr>
        <w:pStyle w:val="174"/>
      </w:pPr>
      <w:r>
        <w:rPr>
          <w:rFonts w:hint="eastAsia"/>
        </w:rPr>
        <w:t>游览路线的起止点和关键景点介绍；</w:t>
      </w:r>
    </w:p>
    <w:p w14:paraId="6014B89C">
      <w:pPr>
        <w:pStyle w:val="174"/>
      </w:pPr>
      <w:r>
        <w:rPr>
          <w:rFonts w:hint="eastAsia"/>
        </w:rPr>
        <w:t>飞行过程中的注意事项和安全禁止事项；</w:t>
      </w:r>
    </w:p>
    <w:p w14:paraId="10AD2BA3">
      <w:pPr>
        <w:pStyle w:val="174"/>
      </w:pPr>
      <w:r>
        <w:rPr>
          <w:rFonts w:hint="eastAsia"/>
        </w:rPr>
        <w:t>乘坐过程中的不适应对方法（晕机等）；</w:t>
      </w:r>
    </w:p>
    <w:p w14:paraId="65290745">
      <w:pPr>
        <w:pStyle w:val="174"/>
      </w:pPr>
      <w:r>
        <w:rPr>
          <w:rFonts w:hint="eastAsia"/>
        </w:rPr>
        <w:t>遇有海上飞行时的特殊应急程序和救生衣使用方法。</w:t>
      </w:r>
    </w:p>
    <w:p w14:paraId="00B33174">
      <w:pPr>
        <w:pStyle w:val="165"/>
      </w:pPr>
      <w:r>
        <w:rPr>
          <w:rFonts w:hint="eastAsia"/>
        </w:rPr>
        <w:t>服务人员应确认游客已充分理解安全讲解内容，并请游客签署安全告知确认书。</w:t>
      </w:r>
    </w:p>
    <w:p w14:paraId="73AD1852">
      <w:pPr>
        <w:pStyle w:val="165"/>
      </w:pPr>
      <w:r>
        <w:rPr>
          <w:rFonts w:hint="eastAsia"/>
        </w:rPr>
        <w:t>飞行前讲解完成后方可引导游客进入航空器。</w:t>
      </w:r>
    </w:p>
    <w:p w14:paraId="08CBAE9A">
      <w:pPr>
        <w:pStyle w:val="105"/>
        <w:spacing w:before="120" w:after="120"/>
      </w:pPr>
      <w:r>
        <w:rPr>
          <w:rFonts w:hint="eastAsia"/>
        </w:rPr>
        <w:t>飞行游览服务</w:t>
      </w:r>
    </w:p>
    <w:p w14:paraId="7AAEF83C">
      <w:pPr>
        <w:pStyle w:val="165"/>
      </w:pPr>
      <w:r>
        <w:rPr>
          <w:rFonts w:hint="eastAsia"/>
        </w:rPr>
        <w:t>飞行驾驶人员应按照预先确定的飞行计划和航线执行飞行任务，严格遵守空域管理规定，不得擅自变更飞行路线或超出批准空域。</w:t>
      </w:r>
    </w:p>
    <w:p w14:paraId="7C71E11A">
      <w:pPr>
        <w:pStyle w:val="165"/>
      </w:pPr>
      <w:r>
        <w:rPr>
          <w:rFonts w:hint="eastAsia"/>
        </w:rPr>
        <w:t>飞行过程中，飞行驾驶人员和服务人员应：</w:t>
      </w:r>
    </w:p>
    <w:p w14:paraId="05B5403D">
      <w:pPr>
        <w:pStyle w:val="174"/>
        <w:numPr>
          <w:ilvl w:val="0"/>
          <w:numId w:val="38"/>
        </w:numPr>
      </w:pPr>
      <w:r>
        <w:rPr>
          <w:rFonts w:hint="eastAsia"/>
        </w:rPr>
        <w:t>保持与运行控制中心的通信联系；</w:t>
      </w:r>
    </w:p>
    <w:p w14:paraId="61556278">
      <w:pPr>
        <w:pStyle w:val="174"/>
      </w:pPr>
      <w:r>
        <w:rPr>
          <w:rFonts w:hint="eastAsia"/>
        </w:rPr>
        <w:t>密切关注气象变化和航空器状态，一旦发现异常，应立即采取安全措施；</w:t>
      </w:r>
    </w:p>
    <w:p w14:paraId="604A2730">
      <w:pPr>
        <w:pStyle w:val="174"/>
      </w:pPr>
      <w:r>
        <w:rPr>
          <w:rFonts w:hint="eastAsia"/>
        </w:rPr>
        <w:t>适时向游客介绍沿途海岸带自然和人文景观，提供空中讲解服务；</w:t>
      </w:r>
    </w:p>
    <w:p w14:paraId="2A7024A7">
      <w:pPr>
        <w:pStyle w:val="174"/>
      </w:pPr>
      <w:r>
        <w:rPr>
          <w:rFonts w:hint="eastAsia"/>
        </w:rPr>
        <w:t>关注游客的身体状况和精神状态，对晕机游客给予必要帮助。</w:t>
      </w:r>
    </w:p>
    <w:p w14:paraId="63B2F9EB">
      <w:pPr>
        <w:pStyle w:val="165"/>
      </w:pPr>
      <w:r>
        <w:rPr>
          <w:rFonts w:hint="eastAsia"/>
        </w:rPr>
        <w:t>飞行驾驶员在保证安全的情况下，可根据游客需求和气象条件，适度调整飞行速度和飞行姿态，以提升空中观光效果，但不得危及飞行安全。</w:t>
      </w:r>
    </w:p>
    <w:p w14:paraId="6ED4E822">
      <w:pPr>
        <w:pStyle w:val="105"/>
        <w:spacing w:before="120" w:after="120"/>
      </w:pPr>
      <w:r>
        <w:rPr>
          <w:rFonts w:hint="eastAsia"/>
        </w:rPr>
        <w:t>飞行后服务</w:t>
      </w:r>
    </w:p>
    <w:p w14:paraId="294D6BB5">
      <w:pPr>
        <w:pStyle w:val="165"/>
      </w:pPr>
      <w:r>
        <w:rPr>
          <w:rFonts w:hint="eastAsia"/>
        </w:rPr>
        <w:t>航空器平稳落地后，引导游客有序离机，提醒游客妥善携带个人随身物品。</w:t>
      </w:r>
    </w:p>
    <w:p w14:paraId="26AA0C77">
      <w:pPr>
        <w:pStyle w:val="165"/>
      </w:pPr>
      <w:r>
        <w:rPr>
          <w:rFonts w:hint="eastAsia"/>
        </w:rPr>
        <w:t>主动收集游客服务体验意见与改进建议，做好现场服务收尾工作。</w:t>
      </w:r>
    </w:p>
    <w:p w14:paraId="76A0EED0">
      <w:pPr>
        <w:pStyle w:val="165"/>
      </w:pPr>
      <w:r>
        <w:rPr>
          <w:rFonts w:hint="eastAsia"/>
        </w:rPr>
        <w:t>当日飞行任务结束后，完成航空器停放防护、场地清理及飞行日志整理归档工作。</w:t>
      </w:r>
    </w:p>
    <w:p w14:paraId="521842E9">
      <w:pPr>
        <w:pStyle w:val="104"/>
        <w:spacing w:before="240" w:after="240"/>
      </w:pPr>
      <w:r>
        <w:t>服务安全与应急管理</w:t>
      </w:r>
    </w:p>
    <w:p w14:paraId="3595F664">
      <w:pPr>
        <w:pStyle w:val="105"/>
        <w:spacing w:before="120" w:after="120"/>
      </w:pPr>
      <w:r>
        <w:rPr>
          <w:rFonts w:hint="eastAsia"/>
        </w:rPr>
        <w:t>日常安全管控</w:t>
      </w:r>
    </w:p>
    <w:p w14:paraId="62283BE9">
      <w:pPr>
        <w:pStyle w:val="165"/>
      </w:pPr>
      <w:r>
        <w:rPr>
          <w:rFonts w:hint="eastAsia"/>
        </w:rPr>
        <w:t>明确海岸带低空观光飞行禁飞、限飞气象条件，大风、暴雨、浓雾、雷电、强对流等恶劣天气全面停止飞行活动。</w:t>
      </w:r>
    </w:p>
    <w:p w14:paraId="67C81C80">
      <w:pPr>
        <w:pStyle w:val="165"/>
      </w:pPr>
      <w:r>
        <w:rPr>
          <w:rFonts w:hint="eastAsia"/>
        </w:rPr>
        <w:t>明确禁止参与低空观光飞行人员范围：严重心脑血管疾病患者、重度高血压患者、精神疾病患者、低龄婴幼儿、醉酒人员、无陪护行动不便人员等。</w:t>
      </w:r>
    </w:p>
    <w:p w14:paraId="2CB72CB5">
      <w:pPr>
        <w:pStyle w:val="165"/>
      </w:pPr>
      <w:r>
        <w:rPr>
          <w:rFonts w:hint="eastAsia"/>
        </w:rPr>
        <w:t>建立每日自查、每周排查、每月综合检查三级安全隐患排查机制，建立隐患整改台账，实现隐患闭环治理。</w:t>
      </w:r>
    </w:p>
    <w:p w14:paraId="5C6DFB35">
      <w:pPr>
        <w:pStyle w:val="165"/>
      </w:pPr>
      <w:r>
        <w:rPr>
          <w:rFonts w:hint="eastAsia"/>
        </w:rPr>
        <w:t>涉及海上飞行的，服务组织应当在每日运营前核实海上气象条件，并与海事部门确认海上通行安全状况。</w:t>
      </w:r>
    </w:p>
    <w:p w14:paraId="37726BD6">
      <w:pPr>
        <w:pStyle w:val="165"/>
      </w:pPr>
      <w:r>
        <w:rPr>
          <w:rFonts w:hint="eastAsia"/>
        </w:rPr>
        <w:t>应在运营区域内设置安全围栏和安全警示标识，防止无关人员进入飞行器运行区域。</w:t>
      </w:r>
    </w:p>
    <w:p w14:paraId="494866A2">
      <w:pPr>
        <w:pStyle w:val="165"/>
      </w:pPr>
      <w:r>
        <w:rPr>
          <w:rFonts w:hint="eastAsia"/>
        </w:rPr>
        <w:t>运营过程中应减少噪声对滨海生态环境的影响，避免在鸟类繁殖季节靠近敏感栖息地飞行，必要时调整航线或限飞。</w:t>
      </w:r>
    </w:p>
    <w:p w14:paraId="2DA571CF">
      <w:pPr>
        <w:pStyle w:val="105"/>
        <w:spacing w:before="120" w:after="120"/>
      </w:pPr>
      <w:r>
        <w:t>应急管理</w:t>
      </w:r>
    </w:p>
    <w:p w14:paraId="5D4088A3">
      <w:pPr>
        <w:pStyle w:val="165"/>
      </w:pPr>
      <w:r>
        <w:rPr>
          <w:rFonts w:hint="eastAsia"/>
        </w:rPr>
        <w:t>应制定完备的应急预案，包括但不限于：</w:t>
      </w:r>
    </w:p>
    <w:p w14:paraId="79582227">
      <w:pPr>
        <w:pStyle w:val="174"/>
        <w:numPr>
          <w:ilvl w:val="0"/>
          <w:numId w:val="39"/>
        </w:numPr>
      </w:pPr>
      <w:r>
        <w:rPr>
          <w:rFonts w:hint="eastAsia"/>
        </w:rPr>
        <w:t>飞行器故障应急预案；</w:t>
      </w:r>
    </w:p>
    <w:p w14:paraId="66CBF253">
      <w:pPr>
        <w:pStyle w:val="174"/>
      </w:pPr>
      <w:r>
        <w:rPr>
          <w:rFonts w:hint="eastAsia"/>
        </w:rPr>
        <w:t>紧急迫降/备降应急预案；</w:t>
      </w:r>
    </w:p>
    <w:p w14:paraId="1B70B0A2">
      <w:pPr>
        <w:pStyle w:val="174"/>
      </w:pPr>
      <w:r>
        <w:rPr>
          <w:rFonts w:hint="eastAsia"/>
        </w:rPr>
        <w:t>海上迫降和海上搜救应急预案；</w:t>
      </w:r>
    </w:p>
    <w:p w14:paraId="7285640C">
      <w:pPr>
        <w:pStyle w:val="174"/>
      </w:pPr>
      <w:r>
        <w:rPr>
          <w:rFonts w:hint="eastAsia"/>
        </w:rPr>
        <w:t>突发恶劣天气应急预案；</w:t>
      </w:r>
    </w:p>
    <w:p w14:paraId="7992A144">
      <w:pPr>
        <w:pStyle w:val="174"/>
      </w:pPr>
      <w:r>
        <w:rPr>
          <w:rFonts w:hint="eastAsia"/>
        </w:rPr>
        <w:t>游客突发疾病应急预案；</w:t>
      </w:r>
    </w:p>
    <w:p w14:paraId="4F6814BE">
      <w:pPr>
        <w:pStyle w:val="174"/>
      </w:pPr>
      <w:r>
        <w:rPr>
          <w:rFonts w:hint="eastAsia"/>
        </w:rPr>
        <w:t>火灾应急预案。</w:t>
      </w:r>
    </w:p>
    <w:p w14:paraId="4E3479B5">
      <w:pPr>
        <w:pStyle w:val="165"/>
      </w:pPr>
      <w:r>
        <w:rPr>
          <w:rFonts w:hint="eastAsia"/>
        </w:rPr>
        <w:t>应定期组织开展应急演练，每年至少开展1次综合应急演练，至少开展2次专项应急演练，并做好演练记录和总结评估。</w:t>
      </w:r>
    </w:p>
    <w:p w14:paraId="245ECA22">
      <w:pPr>
        <w:pStyle w:val="165"/>
      </w:pPr>
      <w:r>
        <w:rPr>
          <w:rFonts w:hint="eastAsia"/>
        </w:rPr>
        <w:t>应建立与政府应急管理部门、民航管理部门、海事部门、医疗急救机构、消防救援机构等单位的应急救援联动机制，构建跨部门联防联控平台。</w:t>
      </w:r>
    </w:p>
    <w:p w14:paraId="18FEA514">
      <w:pPr>
        <w:pStyle w:val="165"/>
      </w:pPr>
      <w:r>
        <w:rPr>
          <w:rFonts w:hint="eastAsia"/>
        </w:rPr>
        <w:t>应足额配备应急救援力量与装备，健全应急处置机制。</w:t>
      </w:r>
    </w:p>
    <w:p w14:paraId="128E67A6">
      <w:pPr>
        <w:pStyle w:val="165"/>
      </w:pPr>
      <w:r>
        <w:rPr>
          <w:rFonts w:hint="eastAsia"/>
        </w:rPr>
        <w:t>设置应急联系电话和应急联络人，并在显著位置公示。</w:t>
      </w:r>
    </w:p>
    <w:p w14:paraId="6B46FB2E">
      <w:pPr>
        <w:pStyle w:val="105"/>
        <w:spacing w:before="120" w:after="120"/>
      </w:pPr>
      <w:r>
        <w:rPr>
          <w:rFonts w:hint="eastAsia"/>
        </w:rPr>
        <w:t>突发事件处置</w:t>
      </w:r>
    </w:p>
    <w:p w14:paraId="63E7BF8D">
      <w:pPr>
        <w:pStyle w:val="165"/>
      </w:pPr>
      <w:r>
        <w:rPr>
          <w:rFonts w:hint="eastAsia"/>
        </w:rPr>
        <w:t>发生飞行安全、人身安全等各类突发事件时，第一时间启动对应应急预案，优先保障人员生命安全。</w:t>
      </w:r>
    </w:p>
    <w:p w14:paraId="695658DD">
      <w:pPr>
        <w:pStyle w:val="165"/>
      </w:pPr>
      <w:r>
        <w:rPr>
          <w:rFonts w:hint="eastAsia"/>
        </w:rPr>
        <w:t>按照规定时限及时向属地文旅、民航、低空经济管理、应急管理等主管部门上报事件情况，不应迟报、瞒报、漏报。</w:t>
      </w:r>
    </w:p>
    <w:p w14:paraId="3D2E5713">
      <w:pPr>
        <w:pStyle w:val="165"/>
      </w:pPr>
      <w:r>
        <w:rPr>
          <w:rFonts w:hint="eastAsia"/>
        </w:rPr>
        <w:t>妥善做好游客情绪安抚、现场秩序维护及后续善后协调处置工作。</w:t>
      </w:r>
    </w:p>
    <w:p w14:paraId="50CD1501">
      <w:pPr>
        <w:pStyle w:val="104"/>
        <w:spacing w:before="240" w:after="240"/>
      </w:pPr>
      <w:r>
        <w:rPr>
          <w:rFonts w:hint="eastAsia"/>
        </w:rPr>
        <w:t>服务质量评价与改进</w:t>
      </w:r>
    </w:p>
    <w:p w14:paraId="2ADC05FD">
      <w:pPr>
        <w:pStyle w:val="105"/>
        <w:spacing w:before="120" w:after="120"/>
      </w:pPr>
      <w:r>
        <w:rPr>
          <w:rFonts w:hint="eastAsia"/>
        </w:rPr>
        <w:t>评价内容</w:t>
      </w:r>
    </w:p>
    <w:p w14:paraId="65E4D66E">
      <w:pPr>
        <w:pStyle w:val="56"/>
        <w:ind w:firstLine="420"/>
      </w:pPr>
      <w:r>
        <w:rPr>
          <w:rFonts w:hint="eastAsia"/>
        </w:rPr>
        <w:t>应建立服务质量评价体系，评价内容包括但不限于以下内容：</w:t>
      </w:r>
    </w:p>
    <w:p w14:paraId="4158BCE2">
      <w:pPr>
        <w:pStyle w:val="174"/>
        <w:numPr>
          <w:ilvl w:val="0"/>
          <w:numId w:val="40"/>
        </w:numPr>
      </w:pPr>
      <w:r>
        <w:rPr>
          <w:rFonts w:hint="eastAsia"/>
        </w:rPr>
        <w:t>经营资质合规性；</w:t>
      </w:r>
    </w:p>
    <w:p w14:paraId="6DAAC54A">
      <w:pPr>
        <w:pStyle w:val="174"/>
      </w:pPr>
      <w:r>
        <w:rPr>
          <w:rFonts w:hint="eastAsia"/>
        </w:rPr>
        <w:t>飞行安全保障能力；</w:t>
      </w:r>
    </w:p>
    <w:p w14:paraId="2D4561BD">
      <w:pPr>
        <w:pStyle w:val="174"/>
      </w:pPr>
      <w:r>
        <w:rPr>
          <w:rFonts w:hint="eastAsia"/>
        </w:rPr>
        <w:t>服务设施条件；</w:t>
      </w:r>
    </w:p>
    <w:p w14:paraId="58CABF80">
      <w:pPr>
        <w:pStyle w:val="174"/>
      </w:pPr>
      <w:r>
        <w:rPr>
          <w:rFonts w:hint="eastAsia"/>
        </w:rPr>
        <w:t>服务人员服务水平；</w:t>
      </w:r>
    </w:p>
    <w:p w14:paraId="3F0E037C">
      <w:pPr>
        <w:pStyle w:val="174"/>
      </w:pPr>
      <w:r>
        <w:rPr>
          <w:rFonts w:hint="eastAsia"/>
        </w:rPr>
        <w:t>投诉与纠纷处理；</w:t>
      </w:r>
    </w:p>
    <w:p w14:paraId="6BDD3716">
      <w:pPr>
        <w:pStyle w:val="174"/>
      </w:pPr>
      <w:r>
        <w:rPr>
          <w:rFonts w:hint="eastAsia"/>
        </w:rPr>
        <w:t>游客总体满意度。</w:t>
      </w:r>
    </w:p>
    <w:p w14:paraId="61B73031">
      <w:pPr>
        <w:pStyle w:val="105"/>
        <w:spacing w:before="120" w:after="120"/>
      </w:pPr>
      <w:r>
        <w:rPr>
          <w:rFonts w:hint="eastAsia"/>
        </w:rPr>
        <w:t>评价方式</w:t>
      </w:r>
    </w:p>
    <w:p w14:paraId="14BD0642">
      <w:pPr>
        <w:pStyle w:val="165"/>
      </w:pPr>
      <w:r>
        <w:rPr>
          <w:rFonts w:hint="eastAsia"/>
        </w:rPr>
        <w:t>采用现场问卷、线上评价、出行回访相结合的方式常态化收集游客评价意见。</w:t>
      </w:r>
    </w:p>
    <w:p w14:paraId="7BF8163B">
      <w:pPr>
        <w:pStyle w:val="165"/>
      </w:pPr>
      <w:r>
        <w:rPr>
          <w:rFonts w:hint="eastAsia"/>
        </w:rPr>
        <w:t>每月开展内部服务质量自查自评，行业组织或第三方机构每年组织不少于1次行业服务质量抽检测评。</w:t>
      </w:r>
    </w:p>
    <w:p w14:paraId="13B53AAF">
      <w:pPr>
        <w:pStyle w:val="165"/>
      </w:pPr>
      <w:r>
        <w:rPr>
          <w:rFonts w:hint="eastAsia"/>
        </w:rPr>
        <w:t>每年宜委托具备资质的第三方机构开展一次服务质量与安全运行综合评估，评估结果向社会公示或向监管部门备案。</w:t>
      </w:r>
    </w:p>
    <w:p w14:paraId="0616E32B">
      <w:pPr>
        <w:pStyle w:val="105"/>
        <w:spacing w:before="120" w:after="120"/>
      </w:pPr>
      <w:r>
        <w:t>投诉与处理</w:t>
      </w:r>
    </w:p>
    <w:p w14:paraId="21BBE8AC">
      <w:pPr>
        <w:pStyle w:val="165"/>
      </w:pPr>
      <w:bookmarkStart w:id="47" w:name="OLE_LINK14"/>
      <w:r>
        <w:rPr>
          <w:rFonts w:hint="eastAsia"/>
        </w:rPr>
        <w:t>应建立游客投诉处理机制，明确投诉受理部门、处理流程和办结时限。</w:t>
      </w:r>
    </w:p>
    <w:p w14:paraId="2D5D22B5">
      <w:pPr>
        <w:pStyle w:val="165"/>
      </w:pPr>
      <w:r>
        <w:rPr>
          <w:rFonts w:hint="eastAsia"/>
        </w:rPr>
        <w:t>应在收到投诉后</w:t>
      </w:r>
      <w:r>
        <w:t>24</w:t>
      </w:r>
      <w:r>
        <w:rPr>
          <w:rFonts w:hint="eastAsia"/>
        </w:rPr>
        <w:t>小时内与投诉人取得联系，一般性投诉应在</w:t>
      </w:r>
      <w:r>
        <w:t>5</w:t>
      </w:r>
      <w:r>
        <w:rPr>
          <w:rFonts w:hint="eastAsia"/>
        </w:rPr>
        <w:t>个工作日内办结，复杂投诉应在</w:t>
      </w:r>
      <w:r>
        <w:t>15</w:t>
      </w:r>
      <w:r>
        <w:rPr>
          <w:rFonts w:hint="eastAsia"/>
        </w:rPr>
        <w:t>个工作日内办结。</w:t>
      </w:r>
    </w:p>
    <w:p w14:paraId="0BB4185D">
      <w:pPr>
        <w:pStyle w:val="165"/>
      </w:pPr>
      <w:r>
        <w:rPr>
          <w:rFonts w:hint="eastAsia"/>
        </w:rPr>
        <w:t>投诉处理情况应完整记录，包括投诉时间、投诉内容、处理过程、处理结果、投诉人反馈等信息，记录文档应分类归档留存，便于后续的核查与管理。。</w:t>
      </w:r>
    </w:p>
    <w:bookmarkEnd w:id="47"/>
    <w:p w14:paraId="06A920E9">
      <w:pPr>
        <w:pStyle w:val="105"/>
        <w:spacing w:before="120" w:after="120"/>
      </w:pPr>
      <w:r>
        <w:rPr>
          <w:rFonts w:hint="eastAsia"/>
        </w:rPr>
        <w:t>持续改进</w:t>
      </w:r>
    </w:p>
    <w:p w14:paraId="7ED4CD51">
      <w:pPr>
        <w:pStyle w:val="165"/>
      </w:pPr>
      <w:r>
        <w:rPr>
          <w:rFonts w:hint="eastAsia"/>
        </w:rPr>
        <w:t>定期汇总分析游客评价、服务投诉、安全管理相关数据，梳理服务短板与管理薄弱环节，制定针对性改进措施。</w:t>
      </w:r>
    </w:p>
    <w:p w14:paraId="4CBA3402">
      <w:pPr>
        <w:pStyle w:val="165"/>
      </w:pPr>
      <w:r>
        <w:rPr>
          <w:rFonts w:hint="eastAsia"/>
        </w:rPr>
        <w:t>应建立持续改进机制，根据服务质量评价结果和投诉处理情况，制定改进措施并组织实施。</w:t>
      </w:r>
    </w:p>
    <w:p w14:paraId="3DA2AA84">
      <w:pPr>
        <w:pStyle w:val="165"/>
      </w:pPr>
      <w:r>
        <w:rPr>
          <w:rFonts w:hint="eastAsia"/>
        </w:rPr>
        <w:t>持续改进工作应覆盖服务全过程的各个环节，包括但不限于：</w:t>
      </w:r>
    </w:p>
    <w:p w14:paraId="7C1E346B">
      <w:pPr>
        <w:pStyle w:val="174"/>
        <w:numPr>
          <w:ilvl w:val="0"/>
          <w:numId w:val="41"/>
        </w:numPr>
      </w:pPr>
      <w:r>
        <w:rPr>
          <w:rFonts w:hint="eastAsia"/>
        </w:rPr>
        <w:t>完善服务流程和操作规程；</w:t>
      </w:r>
    </w:p>
    <w:p w14:paraId="42B31383">
      <w:pPr>
        <w:pStyle w:val="174"/>
      </w:pPr>
      <w:r>
        <w:rPr>
          <w:rFonts w:hint="eastAsia"/>
        </w:rPr>
        <w:t>改进服务设施和条件；</w:t>
      </w:r>
    </w:p>
    <w:p w14:paraId="10F83DA9">
      <w:pPr>
        <w:pStyle w:val="174"/>
      </w:pPr>
      <w:r>
        <w:rPr>
          <w:rFonts w:hint="eastAsia"/>
        </w:rPr>
        <w:t>提升服务人员素质和能力；</w:t>
      </w:r>
    </w:p>
    <w:p w14:paraId="6CE7477B">
      <w:pPr>
        <w:pStyle w:val="174"/>
      </w:pPr>
      <w:r>
        <w:rPr>
          <w:rFonts w:hint="eastAsia"/>
        </w:rPr>
        <w:t>优化安全管理和应急响应能力；</w:t>
      </w:r>
    </w:p>
    <w:p w14:paraId="0C9165A5">
      <w:pPr>
        <w:pStyle w:val="174"/>
      </w:pPr>
      <w:r>
        <w:rPr>
          <w:rFonts w:hint="eastAsia"/>
        </w:rPr>
        <w:t>强化游客满意度提升措施。</w:t>
      </w:r>
    </w:p>
    <w:bookmarkEnd w:id="19"/>
    <w:p w14:paraId="71315D50">
      <w:pPr>
        <w:pStyle w:val="174"/>
        <w:numPr>
          <w:ilvl w:val="0"/>
          <w:numId w:val="0"/>
        </w:numPr>
        <w:ind w:left="851"/>
        <w:jc w:val="center"/>
      </w:pPr>
      <w:bookmarkStart w:id="48"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0B20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8E3D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D250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09AA3">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F168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88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1F66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FF820">
    <w:pPr>
      <w:pStyle w:val="61"/>
    </w:pPr>
    <w:r>
      <w:fldChar w:fldCharType="begin"/>
    </w:r>
    <w:r>
      <w:instrText xml:space="preserve"> STYLEREF  标准文件_文件编号  \* MERGEFORMAT </w:instrText>
    </w:r>
    <w:r>
      <w:fldChar w:fldCharType="separate"/>
    </w:r>
    <w:r>
      <w:t>T/DLAS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7FB6">
    <w:pPr>
      <w:pStyle w:val="18"/>
      <w:jc w:val="right"/>
    </w:pPr>
    <w:r>
      <w:fldChar w:fldCharType="begin"/>
    </w:r>
    <w:r>
      <w:instrText xml:space="preserve"> STYLEREF  标准文件_文件编号  \* MERGEFORMAT </w:instrText>
    </w:r>
    <w:r>
      <w:fldChar w:fldCharType="separate"/>
    </w:r>
    <w:r>
      <w:t>T/DLAS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F5"/>
    <w:rsid w:val="0000040A"/>
    <w:rsid w:val="00000A94"/>
    <w:rsid w:val="00001972"/>
    <w:rsid w:val="00001D9A"/>
    <w:rsid w:val="00004646"/>
    <w:rsid w:val="00007B3A"/>
    <w:rsid w:val="000107E0"/>
    <w:rsid w:val="00011FDE"/>
    <w:rsid w:val="00012FFD"/>
    <w:rsid w:val="00014162"/>
    <w:rsid w:val="00014340"/>
    <w:rsid w:val="0001593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D2E"/>
    <w:rsid w:val="00066F2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C89"/>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875"/>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5EF"/>
    <w:rsid w:val="00176DFD"/>
    <w:rsid w:val="00180FE0"/>
    <w:rsid w:val="001852C9"/>
    <w:rsid w:val="00187A0B"/>
    <w:rsid w:val="00190087"/>
    <w:rsid w:val="0019037D"/>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D2D"/>
    <w:rsid w:val="00215ADD"/>
    <w:rsid w:val="002204BB"/>
    <w:rsid w:val="00221B79"/>
    <w:rsid w:val="00221C6B"/>
    <w:rsid w:val="002253A1"/>
    <w:rsid w:val="00225CF8"/>
    <w:rsid w:val="0022794E"/>
    <w:rsid w:val="00233961"/>
    <w:rsid w:val="00233D64"/>
    <w:rsid w:val="0023482A"/>
    <w:rsid w:val="002359CB"/>
    <w:rsid w:val="00243540"/>
    <w:rsid w:val="0024497B"/>
    <w:rsid w:val="0024515B"/>
    <w:rsid w:val="00246021"/>
    <w:rsid w:val="0024666E"/>
    <w:rsid w:val="00247F52"/>
    <w:rsid w:val="00250B25"/>
    <w:rsid w:val="00250BBE"/>
    <w:rsid w:val="00250CD1"/>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059"/>
    <w:rsid w:val="002A757F"/>
    <w:rsid w:val="002A7F44"/>
    <w:rsid w:val="002B0C40"/>
    <w:rsid w:val="002B1966"/>
    <w:rsid w:val="002B1A91"/>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BF2"/>
    <w:rsid w:val="002E2E35"/>
    <w:rsid w:val="002E4D5A"/>
    <w:rsid w:val="002E6326"/>
    <w:rsid w:val="002E791C"/>
    <w:rsid w:val="002F22D2"/>
    <w:rsid w:val="002F30E0"/>
    <w:rsid w:val="002F35E4"/>
    <w:rsid w:val="002F3730"/>
    <w:rsid w:val="002F38E1"/>
    <w:rsid w:val="002F7AF6"/>
    <w:rsid w:val="003004FE"/>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D35"/>
    <w:rsid w:val="0034194F"/>
    <w:rsid w:val="00344605"/>
    <w:rsid w:val="003474AA"/>
    <w:rsid w:val="00350D1D"/>
    <w:rsid w:val="00352C83"/>
    <w:rsid w:val="00352F1A"/>
    <w:rsid w:val="00356889"/>
    <w:rsid w:val="0036107C"/>
    <w:rsid w:val="003615D2"/>
    <w:rsid w:val="0036429C"/>
    <w:rsid w:val="00364A53"/>
    <w:rsid w:val="003654CB"/>
    <w:rsid w:val="00365AA9"/>
    <w:rsid w:val="00365F86"/>
    <w:rsid w:val="00365F87"/>
    <w:rsid w:val="00366E89"/>
    <w:rsid w:val="003705F4"/>
    <w:rsid w:val="00370D58"/>
    <w:rsid w:val="00371316"/>
    <w:rsid w:val="0037141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6D3"/>
    <w:rsid w:val="003974EB"/>
    <w:rsid w:val="00397CC5"/>
    <w:rsid w:val="00397EFD"/>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E0A"/>
    <w:rsid w:val="003D0519"/>
    <w:rsid w:val="003D0FF6"/>
    <w:rsid w:val="003D262C"/>
    <w:rsid w:val="003D6BF5"/>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ECE"/>
    <w:rsid w:val="004167A3"/>
    <w:rsid w:val="0042670D"/>
    <w:rsid w:val="00432DAA"/>
    <w:rsid w:val="00434305"/>
    <w:rsid w:val="00435DF7"/>
    <w:rsid w:val="0043741A"/>
    <w:rsid w:val="00437EB5"/>
    <w:rsid w:val="0044083F"/>
    <w:rsid w:val="00441AE7"/>
    <w:rsid w:val="00445574"/>
    <w:rsid w:val="004467FB"/>
    <w:rsid w:val="00452D6B"/>
    <w:rsid w:val="00452ED4"/>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006"/>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6DB"/>
    <w:rsid w:val="004D4406"/>
    <w:rsid w:val="004D7C42"/>
    <w:rsid w:val="004E0465"/>
    <w:rsid w:val="004E127B"/>
    <w:rsid w:val="004E1C0A"/>
    <w:rsid w:val="004E30C5"/>
    <w:rsid w:val="004E4AA5"/>
    <w:rsid w:val="004E4AEE"/>
    <w:rsid w:val="004E59E3"/>
    <w:rsid w:val="004E616E"/>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309"/>
    <w:rsid w:val="00523F95"/>
    <w:rsid w:val="00524D65"/>
    <w:rsid w:val="00524EA8"/>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62F"/>
    <w:rsid w:val="00561475"/>
    <w:rsid w:val="00562308"/>
    <w:rsid w:val="0056487B"/>
    <w:rsid w:val="00564FB9"/>
    <w:rsid w:val="005660B7"/>
    <w:rsid w:val="00573D9E"/>
    <w:rsid w:val="005801E3"/>
    <w:rsid w:val="00581802"/>
    <w:rsid w:val="0058228B"/>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62A"/>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BA1"/>
    <w:rsid w:val="00614CC1"/>
    <w:rsid w:val="00615A9D"/>
    <w:rsid w:val="00617387"/>
    <w:rsid w:val="006205D6"/>
    <w:rsid w:val="006252D8"/>
    <w:rsid w:val="006259BC"/>
    <w:rsid w:val="0062636B"/>
    <w:rsid w:val="00626B7A"/>
    <w:rsid w:val="00632182"/>
    <w:rsid w:val="00632AE0"/>
    <w:rsid w:val="00633C17"/>
    <w:rsid w:val="00634D9E"/>
    <w:rsid w:val="00636E3E"/>
    <w:rsid w:val="006379F7"/>
    <w:rsid w:val="00637E4D"/>
    <w:rsid w:val="00640620"/>
    <w:rsid w:val="00641062"/>
    <w:rsid w:val="00641A1F"/>
    <w:rsid w:val="00645904"/>
    <w:rsid w:val="00651ACB"/>
    <w:rsid w:val="00651C47"/>
    <w:rsid w:val="00651E7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6E1"/>
    <w:rsid w:val="006A37B9"/>
    <w:rsid w:val="006B22A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148"/>
    <w:rsid w:val="006D6528"/>
    <w:rsid w:val="006D6593"/>
    <w:rsid w:val="006F03A8"/>
    <w:rsid w:val="006F2ACA"/>
    <w:rsid w:val="006F2ADC"/>
    <w:rsid w:val="006F2BFE"/>
    <w:rsid w:val="006F31E9"/>
    <w:rsid w:val="006F6284"/>
    <w:rsid w:val="006F775B"/>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FBA"/>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C45"/>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44A"/>
    <w:rsid w:val="007C2D89"/>
    <w:rsid w:val="007C4593"/>
    <w:rsid w:val="007C487C"/>
    <w:rsid w:val="007C4F09"/>
    <w:rsid w:val="007C5309"/>
    <w:rsid w:val="007C6069"/>
    <w:rsid w:val="007D06C4"/>
    <w:rsid w:val="007D1352"/>
    <w:rsid w:val="007D2508"/>
    <w:rsid w:val="007D346A"/>
    <w:rsid w:val="007D5C29"/>
    <w:rsid w:val="007D6518"/>
    <w:rsid w:val="007D76BD"/>
    <w:rsid w:val="007D7E94"/>
    <w:rsid w:val="007E0BF1"/>
    <w:rsid w:val="007F0ED8"/>
    <w:rsid w:val="007F0F63"/>
    <w:rsid w:val="007F2F69"/>
    <w:rsid w:val="007F75CE"/>
    <w:rsid w:val="008013A4"/>
    <w:rsid w:val="008027CE"/>
    <w:rsid w:val="00802F42"/>
    <w:rsid w:val="00804383"/>
    <w:rsid w:val="00804BB7"/>
    <w:rsid w:val="00804D41"/>
    <w:rsid w:val="00810257"/>
    <w:rsid w:val="008104F5"/>
    <w:rsid w:val="00811072"/>
    <w:rsid w:val="00811369"/>
    <w:rsid w:val="0081418E"/>
    <w:rsid w:val="00815419"/>
    <w:rsid w:val="008163C8"/>
    <w:rsid w:val="008164A1"/>
    <w:rsid w:val="00817325"/>
    <w:rsid w:val="008209E6"/>
    <w:rsid w:val="00821D19"/>
    <w:rsid w:val="00823303"/>
    <w:rsid w:val="008233B2"/>
    <w:rsid w:val="00823A9F"/>
    <w:rsid w:val="00823C85"/>
    <w:rsid w:val="008241D9"/>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34E"/>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51F"/>
    <w:rsid w:val="00893593"/>
    <w:rsid w:val="008937B8"/>
    <w:rsid w:val="008938DC"/>
    <w:rsid w:val="00893FD1"/>
    <w:rsid w:val="00894634"/>
    <w:rsid w:val="00894836"/>
    <w:rsid w:val="00895172"/>
    <w:rsid w:val="00895680"/>
    <w:rsid w:val="00896DFF"/>
    <w:rsid w:val="0089762C"/>
    <w:rsid w:val="008A173B"/>
    <w:rsid w:val="008A1893"/>
    <w:rsid w:val="008A57E6"/>
    <w:rsid w:val="008A6F81"/>
    <w:rsid w:val="008A769A"/>
    <w:rsid w:val="008B0C9C"/>
    <w:rsid w:val="008B166D"/>
    <w:rsid w:val="008B17F4"/>
    <w:rsid w:val="008B18FC"/>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0D00"/>
    <w:rsid w:val="008E1648"/>
    <w:rsid w:val="008E1B3E"/>
    <w:rsid w:val="008E2319"/>
    <w:rsid w:val="008E4BB6"/>
    <w:rsid w:val="008E5518"/>
    <w:rsid w:val="008E6624"/>
    <w:rsid w:val="008E6A84"/>
    <w:rsid w:val="008F0188"/>
    <w:rsid w:val="008F0CDC"/>
    <w:rsid w:val="008F17A3"/>
    <w:rsid w:val="008F1ED3"/>
    <w:rsid w:val="008F4C29"/>
    <w:rsid w:val="008F70BD"/>
    <w:rsid w:val="008F788F"/>
    <w:rsid w:val="008F7EA2"/>
    <w:rsid w:val="00900BE8"/>
    <w:rsid w:val="00902722"/>
    <w:rsid w:val="009027BC"/>
    <w:rsid w:val="00902841"/>
    <w:rsid w:val="009062E6"/>
    <w:rsid w:val="00911BE5"/>
    <w:rsid w:val="009123B9"/>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3B17"/>
    <w:rsid w:val="0095496B"/>
    <w:rsid w:val="00960F1E"/>
    <w:rsid w:val="009610DC"/>
    <w:rsid w:val="00961490"/>
    <w:rsid w:val="0096381A"/>
    <w:rsid w:val="00965E04"/>
    <w:rsid w:val="009674AD"/>
    <w:rsid w:val="00970CDC"/>
    <w:rsid w:val="00975727"/>
    <w:rsid w:val="00977010"/>
    <w:rsid w:val="00977D02"/>
    <w:rsid w:val="00977FF9"/>
    <w:rsid w:val="009809BB"/>
    <w:rsid w:val="00981D06"/>
    <w:rsid w:val="0098364B"/>
    <w:rsid w:val="00986205"/>
    <w:rsid w:val="00987CD5"/>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52E"/>
    <w:rsid w:val="009B6029"/>
    <w:rsid w:val="009B6971"/>
    <w:rsid w:val="009C251D"/>
    <w:rsid w:val="009C27F1"/>
    <w:rsid w:val="009C3152"/>
    <w:rsid w:val="009C3257"/>
    <w:rsid w:val="009C4CFA"/>
    <w:rsid w:val="009C5070"/>
    <w:rsid w:val="009C6F29"/>
    <w:rsid w:val="009D112C"/>
    <w:rsid w:val="009D1385"/>
    <w:rsid w:val="009D47FA"/>
    <w:rsid w:val="009D4C5B"/>
    <w:rsid w:val="009D50D2"/>
    <w:rsid w:val="009D6BCA"/>
    <w:rsid w:val="009E0F62"/>
    <w:rsid w:val="009E4A58"/>
    <w:rsid w:val="009E5A2D"/>
    <w:rsid w:val="009E5AB2"/>
    <w:rsid w:val="009E5EE0"/>
    <w:rsid w:val="009E6219"/>
    <w:rsid w:val="009F03B3"/>
    <w:rsid w:val="009F396D"/>
    <w:rsid w:val="009F75B9"/>
    <w:rsid w:val="00A0096C"/>
    <w:rsid w:val="00A01757"/>
    <w:rsid w:val="00A028C0"/>
    <w:rsid w:val="00A02BAE"/>
    <w:rsid w:val="00A06A6B"/>
    <w:rsid w:val="00A07E47"/>
    <w:rsid w:val="00A129D0"/>
    <w:rsid w:val="00A12C33"/>
    <w:rsid w:val="00A138BA"/>
    <w:rsid w:val="00A14C8E"/>
    <w:rsid w:val="00A153D9"/>
    <w:rsid w:val="00A15F09"/>
    <w:rsid w:val="00A169B6"/>
    <w:rsid w:val="00A20C76"/>
    <w:rsid w:val="00A2271D"/>
    <w:rsid w:val="00A237D5"/>
    <w:rsid w:val="00A24F3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73F"/>
    <w:rsid w:val="00A51C76"/>
    <w:rsid w:val="00A55BD6"/>
    <w:rsid w:val="00A55D50"/>
    <w:rsid w:val="00A57142"/>
    <w:rsid w:val="00A648CD"/>
    <w:rsid w:val="00A6537A"/>
    <w:rsid w:val="00A65ECF"/>
    <w:rsid w:val="00A67866"/>
    <w:rsid w:val="00A70B07"/>
    <w:rsid w:val="00A723F8"/>
    <w:rsid w:val="00A777DE"/>
    <w:rsid w:val="00A77CCB"/>
    <w:rsid w:val="00A83D8D"/>
    <w:rsid w:val="00A8446B"/>
    <w:rsid w:val="00A8473F"/>
    <w:rsid w:val="00A862D6"/>
    <w:rsid w:val="00A8715E"/>
    <w:rsid w:val="00A9295B"/>
    <w:rsid w:val="00A93B09"/>
    <w:rsid w:val="00A952D7"/>
    <w:rsid w:val="00A963F7"/>
    <w:rsid w:val="00A96AD8"/>
    <w:rsid w:val="00AA052C"/>
    <w:rsid w:val="00AA1E45"/>
    <w:rsid w:val="00AA2AB4"/>
    <w:rsid w:val="00AA4286"/>
    <w:rsid w:val="00AA456B"/>
    <w:rsid w:val="00AA57F5"/>
    <w:rsid w:val="00AA672E"/>
    <w:rsid w:val="00AA6EC9"/>
    <w:rsid w:val="00AB6309"/>
    <w:rsid w:val="00AB69D4"/>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29C7"/>
    <w:rsid w:val="00AF47C5"/>
    <w:rsid w:val="00AF5398"/>
    <w:rsid w:val="00B049AF"/>
    <w:rsid w:val="00B07242"/>
    <w:rsid w:val="00B10534"/>
    <w:rsid w:val="00B113DB"/>
    <w:rsid w:val="00B11D8A"/>
    <w:rsid w:val="00B11F62"/>
    <w:rsid w:val="00B12981"/>
    <w:rsid w:val="00B12F22"/>
    <w:rsid w:val="00B147DD"/>
    <w:rsid w:val="00B156FD"/>
    <w:rsid w:val="00B21F61"/>
    <w:rsid w:val="00B225CE"/>
    <w:rsid w:val="00B261F1"/>
    <w:rsid w:val="00B265BC"/>
    <w:rsid w:val="00B26F1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25DE"/>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77"/>
    <w:rsid w:val="00BD52D7"/>
    <w:rsid w:val="00BD5AD2"/>
    <w:rsid w:val="00BE22F3"/>
    <w:rsid w:val="00BE5B52"/>
    <w:rsid w:val="00BE7B8D"/>
    <w:rsid w:val="00BF0993"/>
    <w:rsid w:val="00BF10A9"/>
    <w:rsid w:val="00BF1703"/>
    <w:rsid w:val="00BF231C"/>
    <w:rsid w:val="00BF51E5"/>
    <w:rsid w:val="00BF74A6"/>
    <w:rsid w:val="00C013AD"/>
    <w:rsid w:val="00C02D6C"/>
    <w:rsid w:val="00C04904"/>
    <w:rsid w:val="00C056B3"/>
    <w:rsid w:val="00C103E5"/>
    <w:rsid w:val="00C13319"/>
    <w:rsid w:val="00C13EE9"/>
    <w:rsid w:val="00C21540"/>
    <w:rsid w:val="00C21906"/>
    <w:rsid w:val="00C21BFA"/>
    <w:rsid w:val="00C24C8D"/>
    <w:rsid w:val="00C25FE2"/>
    <w:rsid w:val="00C26B53"/>
    <w:rsid w:val="00C279B2"/>
    <w:rsid w:val="00C31677"/>
    <w:rsid w:val="00C33E50"/>
    <w:rsid w:val="00C34C20"/>
    <w:rsid w:val="00C35A3E"/>
    <w:rsid w:val="00C42130"/>
    <w:rsid w:val="00C423A4"/>
    <w:rsid w:val="00C423E3"/>
    <w:rsid w:val="00C44BF5"/>
    <w:rsid w:val="00C521CD"/>
    <w:rsid w:val="00C521D6"/>
    <w:rsid w:val="00C55232"/>
    <w:rsid w:val="00C553A4"/>
    <w:rsid w:val="00C55A06"/>
    <w:rsid w:val="00C55D03"/>
    <w:rsid w:val="00C601BC"/>
    <w:rsid w:val="00C6329F"/>
    <w:rsid w:val="00C63340"/>
    <w:rsid w:val="00C643F9"/>
    <w:rsid w:val="00C64E95"/>
    <w:rsid w:val="00C71372"/>
    <w:rsid w:val="00C72410"/>
    <w:rsid w:val="00C7287F"/>
    <w:rsid w:val="00C76F2A"/>
    <w:rsid w:val="00C80CB8"/>
    <w:rsid w:val="00C819F8"/>
    <w:rsid w:val="00C8248C"/>
    <w:rsid w:val="00C84E33"/>
    <w:rsid w:val="00C86D6F"/>
    <w:rsid w:val="00C905FC"/>
    <w:rsid w:val="00C92D03"/>
    <w:rsid w:val="00C9319C"/>
    <w:rsid w:val="00C9435D"/>
    <w:rsid w:val="00C94DF2"/>
    <w:rsid w:val="00C9608B"/>
    <w:rsid w:val="00C96741"/>
    <w:rsid w:val="00CA2D1B"/>
    <w:rsid w:val="00CA375D"/>
    <w:rsid w:val="00CA662A"/>
    <w:rsid w:val="00CA7AFD"/>
    <w:rsid w:val="00CA7C3C"/>
    <w:rsid w:val="00CB0189"/>
    <w:rsid w:val="00CB0BA2"/>
    <w:rsid w:val="00CB1A42"/>
    <w:rsid w:val="00CB1B0C"/>
    <w:rsid w:val="00CB2C0B"/>
    <w:rsid w:val="00CB517D"/>
    <w:rsid w:val="00CB7180"/>
    <w:rsid w:val="00CC038D"/>
    <w:rsid w:val="00CC0402"/>
    <w:rsid w:val="00CC08DB"/>
    <w:rsid w:val="00CC39FF"/>
    <w:rsid w:val="00CC3C2F"/>
    <w:rsid w:val="00CC4AC8"/>
    <w:rsid w:val="00CC5233"/>
    <w:rsid w:val="00CC5DE6"/>
    <w:rsid w:val="00CC6E4E"/>
    <w:rsid w:val="00CC6FE8"/>
    <w:rsid w:val="00CC7202"/>
    <w:rsid w:val="00CD2808"/>
    <w:rsid w:val="00CD28BF"/>
    <w:rsid w:val="00CD4092"/>
    <w:rsid w:val="00CD4616"/>
    <w:rsid w:val="00CD4A20"/>
    <w:rsid w:val="00CD50A1"/>
    <w:rsid w:val="00CD519E"/>
    <w:rsid w:val="00CD5F8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38B"/>
    <w:rsid w:val="00D66846"/>
    <w:rsid w:val="00D675FB"/>
    <w:rsid w:val="00D71F25"/>
    <w:rsid w:val="00D72A9C"/>
    <w:rsid w:val="00D77031"/>
    <w:rsid w:val="00D84941"/>
    <w:rsid w:val="00D84FA1"/>
    <w:rsid w:val="00D851F0"/>
    <w:rsid w:val="00D86DB7"/>
    <w:rsid w:val="00D87BF5"/>
    <w:rsid w:val="00D90721"/>
    <w:rsid w:val="00D92107"/>
    <w:rsid w:val="00D926D0"/>
    <w:rsid w:val="00D93030"/>
    <w:rsid w:val="00D950E1"/>
    <w:rsid w:val="00D952A6"/>
    <w:rsid w:val="00D97F99"/>
    <w:rsid w:val="00DA0CD3"/>
    <w:rsid w:val="00DA1E08"/>
    <w:rsid w:val="00DA24F8"/>
    <w:rsid w:val="00DA28E8"/>
    <w:rsid w:val="00DA38D3"/>
    <w:rsid w:val="00DA3932"/>
    <w:rsid w:val="00DA3AFC"/>
    <w:rsid w:val="00DA499E"/>
    <w:rsid w:val="00DA64F8"/>
    <w:rsid w:val="00DA6C15"/>
    <w:rsid w:val="00DB0258"/>
    <w:rsid w:val="00DB04CA"/>
    <w:rsid w:val="00DB38EE"/>
    <w:rsid w:val="00DB498B"/>
    <w:rsid w:val="00DB66CA"/>
    <w:rsid w:val="00DB6BCA"/>
    <w:rsid w:val="00DB6F54"/>
    <w:rsid w:val="00DB73F7"/>
    <w:rsid w:val="00DC0321"/>
    <w:rsid w:val="00DC3067"/>
    <w:rsid w:val="00DC370B"/>
    <w:rsid w:val="00DC5B90"/>
    <w:rsid w:val="00DD00FF"/>
    <w:rsid w:val="00DD0341"/>
    <w:rsid w:val="00DD0619"/>
    <w:rsid w:val="00DD07FB"/>
    <w:rsid w:val="00DD25C6"/>
    <w:rsid w:val="00DD4FE5"/>
    <w:rsid w:val="00DD54B0"/>
    <w:rsid w:val="00DD57EE"/>
    <w:rsid w:val="00DD6BCC"/>
    <w:rsid w:val="00DE0A4B"/>
    <w:rsid w:val="00DE2410"/>
    <w:rsid w:val="00DE2939"/>
    <w:rsid w:val="00DE3276"/>
    <w:rsid w:val="00DE6E81"/>
    <w:rsid w:val="00DE703F"/>
    <w:rsid w:val="00DE7595"/>
    <w:rsid w:val="00DF1961"/>
    <w:rsid w:val="00DF44DE"/>
    <w:rsid w:val="00E00C32"/>
    <w:rsid w:val="00E01138"/>
    <w:rsid w:val="00E02DFB"/>
    <w:rsid w:val="00E030F9"/>
    <w:rsid w:val="00E0311A"/>
    <w:rsid w:val="00E03138"/>
    <w:rsid w:val="00E06404"/>
    <w:rsid w:val="00E11A85"/>
    <w:rsid w:val="00E12495"/>
    <w:rsid w:val="00E14F8D"/>
    <w:rsid w:val="00E15CCD"/>
    <w:rsid w:val="00E2022C"/>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E48"/>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A73"/>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198C"/>
    <w:rsid w:val="00F56511"/>
    <w:rsid w:val="00F56B72"/>
    <w:rsid w:val="00F61458"/>
    <w:rsid w:val="00F6194E"/>
    <w:rsid w:val="00F623AC"/>
    <w:rsid w:val="00F6412A"/>
    <w:rsid w:val="00F65893"/>
    <w:rsid w:val="00F66A4A"/>
    <w:rsid w:val="00F71E22"/>
    <w:rsid w:val="00F72142"/>
    <w:rsid w:val="00F72AE7"/>
    <w:rsid w:val="00F833BA"/>
    <w:rsid w:val="00F84FD0"/>
    <w:rsid w:val="00F859A8"/>
    <w:rsid w:val="00F86D87"/>
    <w:rsid w:val="00F87D16"/>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A7C"/>
    <w:rsid w:val="00FB7054"/>
    <w:rsid w:val="00FC17B7"/>
    <w:rsid w:val="00FC2CB7"/>
    <w:rsid w:val="00FC4090"/>
    <w:rsid w:val="00FC55B4"/>
    <w:rsid w:val="00FD00E6"/>
    <w:rsid w:val="00FD09A1"/>
    <w:rsid w:val="00FD2A7C"/>
    <w:rsid w:val="00FD59EB"/>
    <w:rsid w:val="00FD7299"/>
    <w:rsid w:val="00FE1D68"/>
    <w:rsid w:val="00FE1FBE"/>
    <w:rsid w:val="00FE3901"/>
    <w:rsid w:val="00FE39D3"/>
    <w:rsid w:val="00FE4554"/>
    <w:rsid w:val="00FE4BCE"/>
    <w:rsid w:val="00FE54AE"/>
    <w:rsid w:val="00FE576A"/>
    <w:rsid w:val="00FE7E79"/>
    <w:rsid w:val="00FF3E7D"/>
    <w:rsid w:val="00FF43A8"/>
    <w:rsid w:val="00FF5B99"/>
    <w:rsid w:val="00FF6037"/>
    <w:rsid w:val="00FF730C"/>
    <w:rsid w:val="00FF73F4"/>
    <w:rsid w:val="00FF7CE4"/>
    <w:rsid w:val="00FF7E39"/>
    <w:rsid w:val="0F2E77BA"/>
    <w:rsid w:val="268D5D13"/>
    <w:rsid w:val="52C66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340F2EF7DE948C392B159902EC9F183"/>
        <w:style w:val=""/>
        <w:category>
          <w:name w:val="常规"/>
          <w:gallery w:val="placeholder"/>
        </w:category>
        <w:types>
          <w:type w:val="bbPlcHdr"/>
        </w:types>
        <w:behaviors>
          <w:behavior w:val="content"/>
        </w:behaviors>
        <w:description w:val=""/>
        <w:guid w:val="{29D03F29-5A7D-46ED-8152-34FFF8CD2142}"/>
      </w:docPartPr>
      <w:docPartBody>
        <w:p w14:paraId="7086C6FC">
          <w:pPr>
            <w:pStyle w:val="5"/>
          </w:pPr>
          <w:r>
            <w:rPr>
              <w:rStyle w:val="4"/>
              <w:rFonts w:hint="eastAsia"/>
            </w:rPr>
            <w:t>单击或点击此处输入文字。</w:t>
          </w:r>
        </w:p>
      </w:docPartBody>
    </w:docPart>
    <w:docPart>
      <w:docPartPr>
        <w:name w:val="9BA73101B1BB4B24B37DACE2B7C534D1"/>
        <w:style w:val=""/>
        <w:category>
          <w:name w:val="常规"/>
          <w:gallery w:val="placeholder"/>
        </w:category>
        <w:types>
          <w:type w:val="bbPlcHdr"/>
        </w:types>
        <w:behaviors>
          <w:behavior w:val="content"/>
        </w:behaviors>
        <w:description w:val=""/>
        <w:guid w:val="{69F4BF20-7864-4DA6-BC61-B12FE76A1842}"/>
      </w:docPartPr>
      <w:docPartBody>
        <w:p w14:paraId="06242D01">
          <w:pPr>
            <w:pStyle w:val="6"/>
          </w:pPr>
          <w:r>
            <w:rPr>
              <w:rStyle w:val="4"/>
              <w:rFonts w:hint="eastAsia"/>
            </w:rPr>
            <w:t>选择一项。</w:t>
          </w:r>
        </w:p>
      </w:docPartBody>
    </w:docPart>
    <w:docPart>
      <w:docPartPr>
        <w:name w:val="C2AC8132B2AF4C668BE9BD324A81E580"/>
        <w:style w:val=""/>
        <w:category>
          <w:name w:val="常规"/>
          <w:gallery w:val="placeholder"/>
        </w:category>
        <w:types>
          <w:type w:val="bbPlcHdr"/>
        </w:types>
        <w:behaviors>
          <w:behavior w:val="content"/>
        </w:behaviors>
        <w:description w:val=""/>
        <w:guid w:val="{5F627CA8-A3D7-44A5-AD24-551C442468FE}"/>
      </w:docPartPr>
      <w:docPartBody>
        <w:p w14:paraId="715121E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4E0"/>
    <w:rsid w:val="002E4E07"/>
    <w:rsid w:val="003608AA"/>
    <w:rsid w:val="00422D33"/>
    <w:rsid w:val="004D24E0"/>
    <w:rsid w:val="00732DC1"/>
    <w:rsid w:val="007438F2"/>
    <w:rsid w:val="00A04EA7"/>
    <w:rsid w:val="00B42CAB"/>
    <w:rsid w:val="00BB271B"/>
    <w:rsid w:val="00BF1621"/>
    <w:rsid w:val="00CD64F1"/>
    <w:rsid w:val="00D21A23"/>
    <w:rsid w:val="00E12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340F2EF7DE948C392B159902EC9F18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BA73101B1BB4B24B37DACE2B7C534D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2AC8132B2AF4C668BE9BD324A81E58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C8093-403A-4690-AF27-6EA686721AA0}">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6349</Words>
  <Characters>6558</Characters>
  <Lines>50</Lines>
  <Paragraphs>14</Paragraphs>
  <TotalTime>189</TotalTime>
  <ScaleCrop>false</ScaleCrop>
  <LinksUpToDate>false</LinksUpToDate>
  <CharactersWithSpaces>6653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2026-06-02T06:50:00Z</dcterms:created>
  <dc:creator>XU</dc:creator>
  <dc:description>&lt;config cover="true" show_menu="true" version="1.0.0" doctype="SDKXY"&gt;_x000d_
&lt;/config&gt;</dc:description>
  <cp:lastModifiedBy>小Q</cp:lastModifiedBy>
  <cp:lastPrinted>2021-02-02T08:22:00Z</cp:lastPrinted>
  <dcterms:modified xsi:type="dcterms:W3CDTF">2026-06-03T03:36:02Z</dcterms:modified>
  <dc:title>团体标准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eyJoZGlkIjoiM2E2NjQ3NWMzN2IwNjY0YWE3NmY3ZjY4Y2MzOGM2NTEiLCJ1c2VySWQiOiI4MTAwOTkxNTQifQ==</vt:lpwstr>
  </property>
  <property fmtid="{D5CDD505-2E9C-101B-9397-08002B2CF9AE}" pid="15" name="KSOProductBuildVer">
    <vt:lpwstr>2052-12.1.0.26375</vt:lpwstr>
  </property>
  <property fmtid="{D5CDD505-2E9C-101B-9397-08002B2CF9AE}" pid="16" name="ICV">
    <vt:lpwstr>F5CAD47AF61C4B5F9C11D8A62A32D400_13</vt:lpwstr>
  </property>
</Properties>
</file>