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11113">
      <w:pPr>
        <w:rPr>
          <w:rFonts w:hint="eastAsia"/>
          <w:sz w:val="28"/>
          <w:szCs w:val="28"/>
        </w:rPr>
      </w:pPr>
    </w:p>
    <w:p w14:paraId="665095BF">
      <w:pPr>
        <w:rPr>
          <w:rFonts w:hint="eastAsia"/>
          <w:sz w:val="28"/>
          <w:szCs w:val="28"/>
        </w:rPr>
      </w:pPr>
    </w:p>
    <w:p w14:paraId="00DF4766">
      <w:pPr>
        <w:rPr>
          <w:rFonts w:hint="eastAsia"/>
          <w:sz w:val="28"/>
          <w:szCs w:val="28"/>
        </w:rPr>
      </w:pPr>
    </w:p>
    <w:p w14:paraId="7887425D">
      <w:pPr>
        <w:rPr>
          <w:rFonts w:hint="eastAsia"/>
          <w:sz w:val="28"/>
          <w:szCs w:val="28"/>
        </w:rPr>
      </w:pPr>
    </w:p>
    <w:p w14:paraId="000F935D">
      <w:pPr>
        <w:rPr>
          <w:sz w:val="28"/>
          <w:szCs w:val="28"/>
        </w:rPr>
      </w:pPr>
    </w:p>
    <w:p w14:paraId="44249E56">
      <w:pPr>
        <w:jc w:val="center"/>
        <w:rPr>
          <w:rFonts w:hint="eastAsia"/>
          <w:sz w:val="44"/>
          <w:szCs w:val="44"/>
        </w:rPr>
      </w:pPr>
      <w:bookmarkStart w:id="0" w:name="OLE_LINK1"/>
      <w:bookmarkStart w:id="1" w:name="OLE_LINK2"/>
      <w:r>
        <w:rPr>
          <w:rFonts w:hint="eastAsia"/>
          <w:sz w:val="44"/>
          <w:szCs w:val="44"/>
        </w:rPr>
        <w:t>《港口高杆灯照明灯具技术规范》团体标准</w:t>
      </w:r>
    </w:p>
    <w:bookmarkEnd w:id="0"/>
    <w:bookmarkEnd w:id="1"/>
    <w:p w14:paraId="766C2ECD">
      <w:pPr>
        <w:jc w:val="center"/>
        <w:rPr>
          <w:rFonts w:hint="eastAsia"/>
          <w:sz w:val="44"/>
          <w:szCs w:val="44"/>
        </w:rPr>
      </w:pPr>
    </w:p>
    <w:p w14:paraId="7D40BDED">
      <w:pPr>
        <w:jc w:val="center"/>
        <w:rPr>
          <w:rFonts w:hint="eastAsia"/>
          <w:sz w:val="44"/>
          <w:szCs w:val="44"/>
        </w:rPr>
      </w:pPr>
    </w:p>
    <w:p w14:paraId="193803D8">
      <w:pPr>
        <w:jc w:val="center"/>
        <w:rPr>
          <w:rFonts w:hint="eastAsia"/>
          <w:sz w:val="44"/>
          <w:szCs w:val="44"/>
        </w:rPr>
      </w:pPr>
      <w:r>
        <w:rPr>
          <w:rFonts w:hint="eastAsia"/>
          <w:sz w:val="44"/>
          <w:szCs w:val="44"/>
        </w:rPr>
        <w:t>编制说明</w:t>
      </w:r>
    </w:p>
    <w:p w14:paraId="353E0E50">
      <w:pPr>
        <w:jc w:val="center"/>
        <w:rPr>
          <w:rFonts w:hint="eastAsia"/>
          <w:sz w:val="44"/>
          <w:szCs w:val="44"/>
        </w:rPr>
      </w:pPr>
    </w:p>
    <w:p w14:paraId="2B8CE9DE">
      <w:pPr>
        <w:jc w:val="center"/>
        <w:rPr>
          <w:rFonts w:hint="eastAsia"/>
          <w:sz w:val="44"/>
          <w:szCs w:val="44"/>
        </w:rPr>
      </w:pPr>
    </w:p>
    <w:p w14:paraId="7E694C47">
      <w:pPr>
        <w:jc w:val="center"/>
        <w:rPr>
          <w:rFonts w:hint="eastAsia"/>
          <w:sz w:val="44"/>
          <w:szCs w:val="44"/>
        </w:rPr>
      </w:pPr>
    </w:p>
    <w:p w14:paraId="69123FA9">
      <w:pPr>
        <w:jc w:val="center"/>
        <w:rPr>
          <w:rFonts w:hint="eastAsia"/>
          <w:sz w:val="44"/>
          <w:szCs w:val="44"/>
        </w:rPr>
      </w:pPr>
    </w:p>
    <w:p w14:paraId="79381027">
      <w:pPr>
        <w:jc w:val="center"/>
        <w:rPr>
          <w:rFonts w:hint="eastAsia"/>
          <w:sz w:val="44"/>
          <w:szCs w:val="44"/>
        </w:rPr>
      </w:pPr>
    </w:p>
    <w:p w14:paraId="6C3B71A9">
      <w:pPr>
        <w:jc w:val="center"/>
        <w:rPr>
          <w:rFonts w:hint="eastAsia"/>
          <w:sz w:val="44"/>
          <w:szCs w:val="44"/>
        </w:rPr>
      </w:pPr>
    </w:p>
    <w:p w14:paraId="5EA81178">
      <w:pPr>
        <w:jc w:val="center"/>
        <w:rPr>
          <w:rFonts w:hint="eastAsia"/>
          <w:sz w:val="44"/>
          <w:szCs w:val="44"/>
        </w:rPr>
      </w:pPr>
    </w:p>
    <w:p w14:paraId="66FA2B8C">
      <w:pPr>
        <w:jc w:val="center"/>
        <w:rPr>
          <w:rFonts w:hint="eastAsia"/>
          <w:sz w:val="44"/>
          <w:szCs w:val="44"/>
        </w:rPr>
      </w:pPr>
    </w:p>
    <w:p w14:paraId="3B0D5E2F">
      <w:pPr>
        <w:jc w:val="center"/>
        <w:rPr>
          <w:rFonts w:hint="eastAsia"/>
          <w:sz w:val="44"/>
          <w:szCs w:val="44"/>
        </w:rPr>
      </w:pPr>
    </w:p>
    <w:p w14:paraId="4A080718">
      <w:pPr>
        <w:jc w:val="center"/>
        <w:rPr>
          <w:rFonts w:hint="eastAsia"/>
          <w:sz w:val="44"/>
          <w:szCs w:val="44"/>
        </w:rPr>
      </w:pPr>
    </w:p>
    <w:p w14:paraId="1ACC277A">
      <w:pPr>
        <w:jc w:val="center"/>
        <w:rPr>
          <w:rFonts w:hint="eastAsia"/>
          <w:sz w:val="44"/>
          <w:szCs w:val="44"/>
        </w:rPr>
      </w:pPr>
    </w:p>
    <w:p w14:paraId="6AAD378F">
      <w:pPr>
        <w:jc w:val="center"/>
        <w:rPr>
          <w:rFonts w:hint="eastAsia"/>
          <w:sz w:val="44"/>
          <w:szCs w:val="44"/>
        </w:rPr>
      </w:pPr>
    </w:p>
    <w:p w14:paraId="6D0B0D4E">
      <w:pPr>
        <w:jc w:val="center"/>
        <w:rPr>
          <w:rFonts w:hint="eastAsia"/>
          <w:sz w:val="44"/>
          <w:szCs w:val="44"/>
        </w:rPr>
      </w:pPr>
    </w:p>
    <w:p w14:paraId="0DE56816">
      <w:pPr>
        <w:rPr>
          <w:rFonts w:hint="eastAsia"/>
          <w:sz w:val="28"/>
          <w:szCs w:val="28"/>
        </w:rPr>
      </w:pPr>
      <w:r>
        <w:rPr>
          <w:rFonts w:hint="eastAsia"/>
          <w:sz w:val="28"/>
          <w:szCs w:val="28"/>
        </w:rPr>
        <w:t>一、 工作简况</w:t>
      </w:r>
    </w:p>
    <w:p w14:paraId="7493B054">
      <w:pPr>
        <w:rPr>
          <w:sz w:val="28"/>
          <w:szCs w:val="28"/>
        </w:rPr>
      </w:pPr>
      <w:r>
        <w:rPr>
          <w:rFonts w:hint="eastAsia"/>
          <w:sz w:val="28"/>
          <w:szCs w:val="28"/>
        </w:rPr>
        <w:t xml:space="preserve">1. </w:t>
      </w:r>
      <w:r>
        <w:rPr>
          <w:rFonts w:hint="eastAsia" w:ascii="宋体" w:hAnsi="宋体"/>
          <w:sz w:val="28"/>
          <w:szCs w:val="28"/>
        </w:rPr>
        <w:t>任务来源</w:t>
      </w:r>
    </w:p>
    <w:p w14:paraId="38A81EE0">
      <w:pPr>
        <w:rPr>
          <w:rFonts w:hint="eastAsia"/>
          <w:sz w:val="28"/>
          <w:szCs w:val="28"/>
        </w:rPr>
      </w:pPr>
      <w:r>
        <w:rPr>
          <w:rFonts w:hint="eastAsia"/>
          <w:sz w:val="28"/>
          <w:szCs w:val="28"/>
        </w:rPr>
        <w:t xml:space="preserve">    </w:t>
      </w:r>
      <w:r>
        <w:rPr>
          <w:rFonts w:hint="eastAsia" w:ascii="宋体" w:hAnsi="宋体"/>
          <w:sz w:val="28"/>
          <w:szCs w:val="28"/>
        </w:rPr>
        <w:t>随着我国港口建设的高速发展，现代化、自动化码头对功能性照明，尤其是高杆灯照明的质量、可靠性和节能性提出了更高要求。目前，虽有《港口工程照明设计规范》（</w:t>
      </w:r>
      <w:r>
        <w:rPr>
          <w:rFonts w:hint="eastAsia"/>
          <w:sz w:val="28"/>
          <w:szCs w:val="28"/>
        </w:rPr>
        <w:t>JTS/T 107</w:t>
      </w:r>
      <w:r>
        <w:rPr>
          <w:rFonts w:hint="eastAsia" w:ascii="宋体" w:hAnsi="宋体"/>
          <w:sz w:val="28"/>
          <w:szCs w:val="28"/>
        </w:rPr>
        <w:t>）等标准对港口照明设计进行指导，但针对港口这一特殊恶劣环境下使用的高杆灯照明灯具本身的产品技术规范仍存在空白。现有国家标准和行业标准多为通用性或道路照明标准，未能充分体现港口海洋性高腐蚀、高风速、高强度作业等苛刻环境对灯具的特定要求。</w:t>
      </w:r>
    </w:p>
    <w:p w14:paraId="2A5FFCF9">
      <w:pPr>
        <w:rPr>
          <w:rFonts w:hint="eastAsia"/>
          <w:sz w:val="28"/>
          <w:szCs w:val="28"/>
        </w:rPr>
      </w:pPr>
      <w:r>
        <w:rPr>
          <w:rFonts w:hint="eastAsia"/>
          <w:sz w:val="28"/>
          <w:szCs w:val="28"/>
        </w:rPr>
        <w:t xml:space="preserve">    </w:t>
      </w:r>
      <w:r>
        <w:rPr>
          <w:rFonts w:hint="eastAsia" w:ascii="宋体" w:hAnsi="宋体"/>
          <w:sz w:val="28"/>
          <w:szCs w:val="28"/>
        </w:rPr>
        <w:t>为填补这一空白，引导行业技术进步，规范市场秩序，保障港口运营安全，由大连市标准化协会提出并归口，制定了本团体标准</w:t>
      </w:r>
      <w:r>
        <w:rPr>
          <w:rFonts w:hint="eastAsia"/>
          <w:sz w:val="28"/>
          <w:szCs w:val="28"/>
        </w:rPr>
        <w:t xml:space="preserve"> </w:t>
      </w:r>
      <w:r>
        <w:rPr>
          <w:rFonts w:hint="eastAsia" w:ascii="宋体" w:hAnsi="宋体"/>
          <w:sz w:val="28"/>
          <w:szCs w:val="28"/>
        </w:rPr>
        <w:t>。</w:t>
      </w:r>
    </w:p>
    <w:p w14:paraId="71F00FA9">
      <w:pPr>
        <w:rPr>
          <w:rFonts w:hint="eastAsia"/>
          <w:sz w:val="28"/>
          <w:szCs w:val="28"/>
        </w:rPr>
      </w:pPr>
      <w:r>
        <w:rPr>
          <w:rFonts w:hint="eastAsia"/>
          <w:sz w:val="28"/>
          <w:szCs w:val="28"/>
        </w:rPr>
        <w:t xml:space="preserve">2. </w:t>
      </w:r>
      <w:r>
        <w:rPr>
          <w:rFonts w:hint="eastAsia" w:ascii="宋体" w:hAnsi="宋体"/>
          <w:sz w:val="28"/>
          <w:szCs w:val="28"/>
        </w:rPr>
        <w:t>主要工作过程</w:t>
      </w:r>
    </w:p>
    <w:p w14:paraId="588790FB">
      <w:pPr>
        <w:rPr>
          <w:rFonts w:hint="eastAsia"/>
          <w:sz w:val="28"/>
          <w:szCs w:val="28"/>
        </w:rPr>
      </w:pPr>
      <w:r>
        <w:rPr>
          <w:rFonts w:hint="eastAsia"/>
          <w:sz w:val="28"/>
          <w:szCs w:val="28"/>
        </w:rPr>
        <w:t xml:space="preserve">    </w:t>
      </w:r>
      <w:r>
        <w:rPr>
          <w:rFonts w:hint="eastAsia" w:ascii="宋体" w:hAnsi="宋体"/>
          <w:sz w:val="28"/>
          <w:szCs w:val="28"/>
        </w:rPr>
        <w:t>本标准起草工作于</w:t>
      </w:r>
      <w:r>
        <w:rPr>
          <w:rFonts w:hint="eastAsia"/>
          <w:sz w:val="28"/>
          <w:szCs w:val="28"/>
        </w:rPr>
        <w:t>2025</w:t>
      </w:r>
      <w:r>
        <w:rPr>
          <w:rFonts w:hint="eastAsia" w:ascii="宋体" w:hAnsi="宋体"/>
          <w:sz w:val="28"/>
          <w:szCs w:val="28"/>
        </w:rPr>
        <w:t>年</w:t>
      </w:r>
      <w:r>
        <w:rPr>
          <w:rFonts w:hint="eastAsia"/>
          <w:sz w:val="28"/>
          <w:szCs w:val="28"/>
        </w:rPr>
        <w:t>5</w:t>
      </w:r>
      <w:r>
        <w:rPr>
          <w:rFonts w:hint="eastAsia" w:ascii="宋体" w:hAnsi="宋体"/>
          <w:sz w:val="28"/>
          <w:szCs w:val="28"/>
        </w:rPr>
        <w:t>月启动，具体过程如下：</w:t>
      </w:r>
    </w:p>
    <w:p w14:paraId="6D776FE0">
      <w:pPr>
        <w:rPr>
          <w:rFonts w:hint="eastAsia"/>
          <w:sz w:val="28"/>
          <w:szCs w:val="28"/>
        </w:rPr>
      </w:pPr>
      <w:r>
        <w:rPr>
          <w:rFonts w:hint="eastAsia"/>
          <w:sz w:val="28"/>
          <w:szCs w:val="28"/>
        </w:rPr>
        <w:t xml:space="preserve">    </w:t>
      </w:r>
      <w:r>
        <w:rPr>
          <w:rFonts w:hint="eastAsia" w:ascii="宋体" w:hAnsi="宋体"/>
          <w:sz w:val="28"/>
          <w:szCs w:val="28"/>
        </w:rPr>
        <w:t>前期调研阶段：</w:t>
      </w:r>
      <w:r>
        <w:rPr>
          <w:rFonts w:hint="eastAsia"/>
          <w:sz w:val="28"/>
          <w:szCs w:val="28"/>
        </w:rPr>
        <w:t xml:space="preserve"> </w:t>
      </w:r>
      <w:r>
        <w:rPr>
          <w:rFonts w:hint="eastAsia" w:ascii="宋体" w:hAnsi="宋体"/>
          <w:sz w:val="28"/>
          <w:szCs w:val="28"/>
        </w:rPr>
        <w:t>成立标准起草工作组，调研了大连港、营口港的高杆灯使用现状、常见问题及技术需求，同时收集分析了国内外相关标准、知名灯具制造企业的产品技术资料。</w:t>
      </w:r>
    </w:p>
    <w:p w14:paraId="2CF0DB69">
      <w:pPr>
        <w:rPr>
          <w:rFonts w:hint="eastAsia"/>
          <w:sz w:val="28"/>
          <w:szCs w:val="28"/>
        </w:rPr>
      </w:pPr>
      <w:r>
        <w:rPr>
          <w:rFonts w:hint="eastAsia"/>
          <w:sz w:val="28"/>
          <w:szCs w:val="28"/>
        </w:rPr>
        <w:t xml:space="preserve">    </w:t>
      </w:r>
      <w:r>
        <w:rPr>
          <w:rFonts w:hint="eastAsia" w:ascii="宋体" w:hAnsi="宋体"/>
          <w:sz w:val="28"/>
          <w:szCs w:val="28"/>
        </w:rPr>
        <w:t>草案起草阶段：在充分调研的基础上，工作组召开了多次内部研讨会，明确了标准的核心技术框架和关键指标，完成了标准征求意见稿草案的编写。</w:t>
      </w:r>
    </w:p>
    <w:p w14:paraId="5A37E9BD">
      <w:pPr>
        <w:rPr>
          <w:rFonts w:hint="eastAsia"/>
          <w:sz w:val="28"/>
          <w:szCs w:val="28"/>
        </w:rPr>
      </w:pPr>
      <w:r>
        <w:rPr>
          <w:rFonts w:hint="eastAsia"/>
          <w:sz w:val="28"/>
          <w:szCs w:val="28"/>
        </w:rPr>
        <w:t xml:space="preserve">    </w:t>
      </w:r>
      <w:r>
        <w:rPr>
          <w:rFonts w:hint="eastAsia" w:ascii="宋体" w:hAnsi="宋体"/>
          <w:sz w:val="28"/>
          <w:szCs w:val="28"/>
        </w:rPr>
        <w:t>征求意见阶段：将标准征求意见稿广泛征求港口企业、设计院、检测机构、灯具生产企业等相关单位的意见。</w:t>
      </w:r>
      <w:r>
        <w:rPr>
          <w:rFonts w:hint="eastAsia"/>
          <w:sz w:val="28"/>
          <w:szCs w:val="28"/>
        </w:rPr>
        <w:t xml:space="preserve"> </w:t>
      </w:r>
    </w:p>
    <w:p w14:paraId="58DCED6B">
      <w:pPr>
        <w:rPr>
          <w:rFonts w:hint="eastAsia"/>
          <w:sz w:val="28"/>
          <w:szCs w:val="28"/>
        </w:rPr>
      </w:pPr>
      <w:r>
        <w:rPr>
          <w:rFonts w:hint="eastAsia"/>
          <w:sz w:val="28"/>
          <w:szCs w:val="28"/>
        </w:rPr>
        <w:t xml:space="preserve">    </w:t>
      </w:r>
      <w:r>
        <w:rPr>
          <w:rFonts w:hint="eastAsia" w:ascii="宋体" w:hAnsi="宋体"/>
          <w:sz w:val="28"/>
          <w:szCs w:val="28"/>
        </w:rPr>
        <w:t>修改完善阶段：起草工作组对收集到的意见进行了逐条分析、讨论和处理，采纳了其中合理化建议，对标准文本进行了修改和完善，形成了标准送审稿。</w:t>
      </w:r>
    </w:p>
    <w:p w14:paraId="4211353F">
      <w:pPr>
        <w:rPr>
          <w:rFonts w:hint="eastAsia"/>
          <w:sz w:val="28"/>
          <w:szCs w:val="28"/>
        </w:rPr>
      </w:pPr>
      <w:r>
        <w:rPr>
          <w:rFonts w:hint="eastAsia"/>
          <w:sz w:val="28"/>
          <w:szCs w:val="28"/>
        </w:rPr>
        <w:t xml:space="preserve">    </w:t>
      </w:r>
      <w:r>
        <w:rPr>
          <w:rFonts w:hint="eastAsia" w:ascii="宋体" w:hAnsi="宋体"/>
          <w:sz w:val="28"/>
          <w:szCs w:val="28"/>
        </w:rPr>
        <w:t>审查和报批阶段：召开标准审查会，专家组一致通过审查，建议修改后报批。起草组根据审查会意见进行最后修改，形成标准报批稿。</w:t>
      </w:r>
    </w:p>
    <w:p w14:paraId="51DD6C1F">
      <w:pPr>
        <w:rPr>
          <w:sz w:val="28"/>
          <w:szCs w:val="28"/>
        </w:rPr>
      </w:pPr>
      <w:r>
        <w:rPr>
          <w:rFonts w:hint="eastAsia"/>
          <w:sz w:val="28"/>
          <w:szCs w:val="28"/>
        </w:rPr>
        <w:t xml:space="preserve">    3. </w:t>
      </w:r>
      <w:r>
        <w:rPr>
          <w:rFonts w:hint="eastAsia" w:ascii="宋体" w:hAnsi="宋体"/>
          <w:sz w:val="28"/>
          <w:szCs w:val="28"/>
        </w:rPr>
        <w:t>主要起草单位及人员</w:t>
      </w:r>
    </w:p>
    <w:p w14:paraId="3C20B7F1">
      <w:pPr>
        <w:rPr>
          <w:rFonts w:hint="eastAsia" w:ascii="宋体" w:hAnsi="宋体"/>
          <w:sz w:val="28"/>
          <w:szCs w:val="28"/>
          <w:lang w:eastAsia="zh-CN"/>
        </w:rPr>
      </w:pPr>
      <w:r>
        <w:rPr>
          <w:rFonts w:hint="eastAsia" w:ascii="宋体" w:hAnsi="宋体"/>
          <w:sz w:val="28"/>
          <w:szCs w:val="28"/>
        </w:rPr>
        <w:t>主要起草单位：普为光电科技有限公司、辽港股份有限公司、大连标准认证研究院有限公司、大连当然科技有限公司、大连朋汇科技有限公司</w:t>
      </w:r>
      <w:r>
        <w:rPr>
          <w:rFonts w:hint="eastAsia" w:ascii="宋体" w:hAnsi="宋体"/>
          <w:sz w:val="28"/>
          <w:szCs w:val="28"/>
          <w:lang w:eastAsia="zh-CN"/>
        </w:rPr>
        <w:t>、大连新希望光电科技有限公司</w:t>
      </w:r>
    </w:p>
    <w:p w14:paraId="3D9780FA">
      <w:pPr>
        <w:rPr>
          <w:rFonts w:hint="eastAsia" w:ascii="宋体" w:hAnsi="宋体"/>
          <w:sz w:val="28"/>
          <w:szCs w:val="28"/>
        </w:rPr>
      </w:pPr>
      <w:r>
        <w:rPr>
          <w:rFonts w:hint="eastAsia" w:ascii="宋体" w:hAnsi="宋体"/>
          <w:sz w:val="28"/>
          <w:szCs w:val="28"/>
        </w:rPr>
        <w:t>主要起草人</w:t>
      </w:r>
      <w:r>
        <w:rPr>
          <w:rFonts w:hint="eastAsia" w:ascii="宋体" w:hAnsi="宋体"/>
          <w:sz w:val="28"/>
          <w:szCs w:val="28"/>
          <w:lang w:eastAsia="zh-CN"/>
        </w:rPr>
        <w:t>：</w:t>
      </w:r>
      <w:r>
        <w:rPr>
          <w:rFonts w:hint="eastAsia" w:ascii="宋体" w:hAnsi="宋体"/>
          <w:sz w:val="28"/>
          <w:szCs w:val="28"/>
        </w:rPr>
        <w:t>蔡明华、吴善越、王细凤、刘海山、曲楠楠、</w:t>
      </w:r>
      <w:r>
        <w:rPr>
          <w:rFonts w:hint="eastAsia" w:ascii="宋体" w:hAnsi="宋体"/>
          <w:sz w:val="28"/>
          <w:szCs w:val="28"/>
          <w:lang w:eastAsia="zh-CN"/>
        </w:rPr>
        <w:t>刘淼</w:t>
      </w:r>
      <w:r>
        <w:rPr>
          <w:rFonts w:hint="eastAsia" w:ascii="宋体" w:hAnsi="宋体"/>
          <w:sz w:val="28"/>
          <w:szCs w:val="28"/>
        </w:rPr>
        <w:t>、</w:t>
      </w:r>
      <w:r>
        <w:rPr>
          <w:rFonts w:hint="eastAsia" w:ascii="宋体" w:hAnsi="宋体"/>
          <w:sz w:val="28"/>
          <w:szCs w:val="28"/>
          <w:lang w:eastAsia="zh-CN"/>
        </w:rPr>
        <w:t>苏勃、</w:t>
      </w:r>
      <w:r>
        <w:rPr>
          <w:rFonts w:hint="eastAsia" w:ascii="宋体" w:hAnsi="宋体"/>
          <w:sz w:val="28"/>
          <w:szCs w:val="28"/>
        </w:rPr>
        <w:t>刘国伟</w:t>
      </w:r>
    </w:p>
    <w:p w14:paraId="1781DFDA">
      <w:pPr>
        <w:rPr>
          <w:rFonts w:hint="eastAsia"/>
          <w:sz w:val="28"/>
          <w:szCs w:val="28"/>
        </w:rPr>
      </w:pPr>
      <w:r>
        <w:rPr>
          <w:rFonts w:hint="eastAsia"/>
          <w:sz w:val="28"/>
          <w:szCs w:val="28"/>
        </w:rPr>
        <w:t>二、 标准编制原则和主要内容</w:t>
      </w:r>
    </w:p>
    <w:p w14:paraId="3673E23F">
      <w:pPr>
        <w:rPr>
          <w:sz w:val="28"/>
          <w:szCs w:val="28"/>
        </w:rPr>
      </w:pPr>
      <w:r>
        <w:rPr>
          <w:rFonts w:hint="eastAsia"/>
          <w:sz w:val="28"/>
          <w:szCs w:val="28"/>
        </w:rPr>
        <w:t>（一）</w:t>
      </w:r>
      <w:r>
        <w:rPr>
          <w:rFonts w:hint="eastAsia" w:ascii="宋体" w:hAnsi="宋体"/>
          <w:sz w:val="28"/>
          <w:szCs w:val="28"/>
        </w:rPr>
        <w:t>编制原则：</w:t>
      </w:r>
      <w:bookmarkStart w:id="2" w:name="_GoBack"/>
      <w:bookmarkEnd w:id="2"/>
    </w:p>
    <w:p w14:paraId="493CCD68">
      <w:pPr>
        <w:rPr>
          <w:rFonts w:hint="eastAsia"/>
          <w:sz w:val="28"/>
          <w:szCs w:val="28"/>
        </w:rPr>
      </w:pPr>
      <w:r>
        <w:rPr>
          <w:rFonts w:hint="eastAsia"/>
          <w:sz w:val="28"/>
          <w:szCs w:val="28"/>
        </w:rPr>
        <w:t xml:space="preserve">    </w:t>
      </w:r>
      <w:r>
        <w:rPr>
          <w:rFonts w:hint="eastAsia" w:ascii="宋体" w:hAnsi="宋体"/>
          <w:sz w:val="28"/>
          <w:szCs w:val="28"/>
        </w:rPr>
        <w:t>先进性原则：</w:t>
      </w:r>
      <w:r>
        <w:rPr>
          <w:rFonts w:hint="eastAsia"/>
          <w:sz w:val="28"/>
          <w:szCs w:val="28"/>
        </w:rPr>
        <w:t xml:space="preserve"> </w:t>
      </w:r>
      <w:r>
        <w:rPr>
          <w:rFonts w:hint="eastAsia" w:ascii="宋体" w:hAnsi="宋体"/>
          <w:sz w:val="28"/>
          <w:szCs w:val="28"/>
        </w:rPr>
        <w:t>标准内容充分吸收体现了</w:t>
      </w:r>
      <w:r>
        <w:rPr>
          <w:rFonts w:hint="eastAsia"/>
          <w:sz w:val="28"/>
          <w:szCs w:val="28"/>
        </w:rPr>
        <w:t>LED</w:t>
      </w:r>
      <w:r>
        <w:rPr>
          <w:rFonts w:hint="eastAsia" w:ascii="宋体" w:hAnsi="宋体"/>
          <w:sz w:val="28"/>
          <w:szCs w:val="28"/>
        </w:rPr>
        <w:t>照明、智能控制、新型防腐等技术的最新发展成果，指标设定具有一定的前瞻性，旨在推动行业产品技术升级。</w:t>
      </w:r>
    </w:p>
    <w:p w14:paraId="33DC207E">
      <w:pPr>
        <w:rPr>
          <w:rFonts w:hint="eastAsia"/>
          <w:sz w:val="28"/>
          <w:szCs w:val="28"/>
        </w:rPr>
      </w:pPr>
      <w:r>
        <w:rPr>
          <w:rFonts w:hint="eastAsia"/>
          <w:sz w:val="28"/>
          <w:szCs w:val="28"/>
        </w:rPr>
        <w:t xml:space="preserve">    </w:t>
      </w:r>
      <w:r>
        <w:rPr>
          <w:rFonts w:hint="eastAsia" w:ascii="宋体" w:hAnsi="宋体"/>
          <w:sz w:val="28"/>
          <w:szCs w:val="28"/>
        </w:rPr>
        <w:t>适用性原则：</w:t>
      </w:r>
      <w:r>
        <w:rPr>
          <w:rFonts w:hint="eastAsia"/>
          <w:sz w:val="28"/>
          <w:szCs w:val="28"/>
        </w:rPr>
        <w:t xml:space="preserve"> </w:t>
      </w:r>
      <w:r>
        <w:rPr>
          <w:rFonts w:hint="eastAsia" w:ascii="宋体" w:hAnsi="宋体"/>
          <w:sz w:val="28"/>
          <w:szCs w:val="28"/>
        </w:rPr>
        <w:t>标准紧扣港口“高腐蚀、高风速、高可靠性”的实际工况，技术要求针对性强，解决方案切实可行，确保标准在港口领域能有效落地应用。</w:t>
      </w:r>
    </w:p>
    <w:p w14:paraId="39CE6760">
      <w:pPr>
        <w:ind w:firstLine="540"/>
        <w:rPr>
          <w:rFonts w:hint="eastAsia"/>
          <w:sz w:val="28"/>
          <w:szCs w:val="28"/>
        </w:rPr>
      </w:pPr>
      <w:r>
        <w:rPr>
          <w:rFonts w:hint="eastAsia" w:ascii="宋体" w:hAnsi="宋体"/>
          <w:sz w:val="28"/>
          <w:szCs w:val="28"/>
        </w:rPr>
        <w:t>协调性原则：</w:t>
      </w:r>
      <w:r>
        <w:rPr>
          <w:rFonts w:hint="eastAsia"/>
          <w:sz w:val="28"/>
          <w:szCs w:val="28"/>
        </w:rPr>
        <w:t xml:space="preserve"> </w:t>
      </w:r>
      <w:r>
        <w:rPr>
          <w:rFonts w:hint="eastAsia" w:ascii="宋体" w:hAnsi="宋体"/>
          <w:sz w:val="28"/>
          <w:szCs w:val="28"/>
        </w:rPr>
        <w:t>标准与现行有效的国家标准（</w:t>
      </w:r>
      <w:r>
        <w:rPr>
          <w:rFonts w:hint="eastAsia"/>
          <w:sz w:val="28"/>
          <w:szCs w:val="28"/>
        </w:rPr>
        <w:t>GB</w:t>
      </w:r>
      <w:r>
        <w:rPr>
          <w:rFonts w:hint="eastAsia" w:ascii="宋体" w:hAnsi="宋体"/>
          <w:sz w:val="28"/>
          <w:szCs w:val="28"/>
        </w:rPr>
        <w:t>）、行业标准（</w:t>
      </w:r>
      <w:r>
        <w:rPr>
          <w:rFonts w:hint="eastAsia"/>
          <w:sz w:val="28"/>
          <w:szCs w:val="28"/>
        </w:rPr>
        <w:t>JTS</w:t>
      </w:r>
      <w:r>
        <w:rPr>
          <w:rFonts w:hint="eastAsia" w:ascii="宋体" w:hAnsi="宋体"/>
          <w:sz w:val="28"/>
          <w:szCs w:val="28"/>
        </w:rPr>
        <w:t>、</w:t>
      </w:r>
      <w:r>
        <w:rPr>
          <w:rFonts w:hint="eastAsia"/>
          <w:sz w:val="28"/>
          <w:szCs w:val="28"/>
        </w:rPr>
        <w:t>CJ</w:t>
      </w:r>
      <w:r>
        <w:rPr>
          <w:rFonts w:hint="eastAsia" w:ascii="宋体" w:hAnsi="宋体"/>
          <w:sz w:val="28"/>
          <w:szCs w:val="28"/>
        </w:rPr>
        <w:t>）和国际标准（</w:t>
      </w:r>
      <w:r>
        <w:rPr>
          <w:rFonts w:hint="eastAsia"/>
          <w:sz w:val="28"/>
          <w:szCs w:val="28"/>
        </w:rPr>
        <w:t>IEC</w:t>
      </w:r>
      <w:r>
        <w:rPr>
          <w:rFonts w:hint="eastAsia" w:ascii="宋体" w:hAnsi="宋体"/>
          <w:sz w:val="28"/>
          <w:szCs w:val="28"/>
        </w:rPr>
        <w:t>、</w:t>
      </w:r>
      <w:r>
        <w:rPr>
          <w:rFonts w:hint="eastAsia"/>
          <w:sz w:val="28"/>
          <w:szCs w:val="28"/>
        </w:rPr>
        <w:t>ISO</w:t>
      </w:r>
      <w:r>
        <w:rPr>
          <w:rFonts w:hint="eastAsia" w:ascii="宋体" w:hAnsi="宋体"/>
          <w:sz w:val="28"/>
          <w:szCs w:val="28"/>
        </w:rPr>
        <w:t>）保持协调和衔接，引用和参考了相关标准的最新版本。</w:t>
      </w:r>
    </w:p>
    <w:p w14:paraId="6176DC15">
      <w:pPr>
        <w:ind w:firstLine="540"/>
        <w:rPr>
          <w:rFonts w:hint="eastAsia"/>
          <w:sz w:val="28"/>
          <w:szCs w:val="28"/>
        </w:rPr>
      </w:pPr>
      <w:r>
        <w:rPr>
          <w:rFonts w:hint="eastAsia" w:ascii="宋体" w:hAnsi="宋体"/>
          <w:sz w:val="28"/>
          <w:szCs w:val="28"/>
        </w:rPr>
        <w:t>可操作性原则：</w:t>
      </w:r>
      <w:r>
        <w:rPr>
          <w:rFonts w:hint="eastAsia"/>
          <w:sz w:val="28"/>
          <w:szCs w:val="28"/>
        </w:rPr>
        <w:t xml:space="preserve"> </w:t>
      </w:r>
      <w:r>
        <w:rPr>
          <w:rFonts w:hint="eastAsia" w:ascii="宋体" w:hAnsi="宋体"/>
          <w:sz w:val="28"/>
          <w:szCs w:val="28"/>
        </w:rPr>
        <w:t>标准技术要求明确，试验方法具体，检验规则清晰，便于生产企业执行、检测机构检验和用户单位验收。</w:t>
      </w:r>
    </w:p>
    <w:p w14:paraId="03F09E69">
      <w:pPr>
        <w:rPr>
          <w:rFonts w:hint="eastAsia"/>
          <w:sz w:val="28"/>
          <w:szCs w:val="28"/>
        </w:rPr>
      </w:pPr>
      <w:r>
        <w:rPr>
          <w:rFonts w:hint="eastAsia"/>
          <w:sz w:val="28"/>
          <w:szCs w:val="28"/>
        </w:rPr>
        <w:t>（二）主要内容说明</w:t>
      </w:r>
    </w:p>
    <w:p w14:paraId="60E96355">
      <w:pPr>
        <w:rPr>
          <w:rFonts w:hint="eastAsia"/>
          <w:sz w:val="28"/>
          <w:szCs w:val="28"/>
        </w:rPr>
      </w:pPr>
      <w:r>
        <w:rPr>
          <w:rFonts w:hint="eastAsia"/>
          <w:sz w:val="28"/>
          <w:szCs w:val="28"/>
        </w:rPr>
        <w:t xml:space="preserve">    本标准的主要技术内容包括范围、规范性引用文件、术语和定义、分类与命名、技术要求、试验方法、检验规则等。本次送审稿相较于征求意见稿，根据反馈意见进行了以下重要修改和完善，使标准结构更清晰、内容更严谨、可操作性更强：</w:t>
      </w:r>
    </w:p>
    <w:p w14:paraId="45F07F58">
      <w:pPr>
        <w:rPr>
          <w:sz w:val="28"/>
          <w:szCs w:val="28"/>
        </w:rPr>
      </w:pPr>
    </w:p>
    <w:p w14:paraId="3810B468">
      <w:pPr>
        <w:rPr>
          <w:rFonts w:hint="eastAsia"/>
          <w:sz w:val="28"/>
          <w:szCs w:val="28"/>
        </w:rPr>
      </w:pPr>
      <w:r>
        <w:rPr>
          <w:rFonts w:hint="eastAsia"/>
          <w:sz w:val="28"/>
          <w:szCs w:val="28"/>
        </w:rPr>
        <w:t>1. 关于规范性引用文件：</w:t>
      </w:r>
    </w:p>
    <w:p w14:paraId="0A61365A">
      <w:pPr>
        <w:rPr>
          <w:rFonts w:hint="eastAsia"/>
          <w:sz w:val="28"/>
          <w:szCs w:val="28"/>
        </w:rPr>
      </w:pPr>
      <w:r>
        <w:rPr>
          <w:rFonts w:hint="eastAsia"/>
          <w:sz w:val="28"/>
          <w:szCs w:val="28"/>
        </w:rPr>
        <w:t xml:space="preserve">    光学性能测试 方法改为依据 GB/T 7000.203，该标准已充分涵盖道路及大面积照明灯具的性能测试要求。</w:t>
      </w:r>
    </w:p>
    <w:p w14:paraId="35F14295">
      <w:pPr>
        <w:rPr>
          <w:rFonts w:hint="eastAsia"/>
          <w:sz w:val="28"/>
          <w:szCs w:val="28"/>
        </w:rPr>
      </w:pPr>
      <w:r>
        <w:rPr>
          <w:rFonts w:hint="eastAsia"/>
          <w:sz w:val="28"/>
          <w:szCs w:val="28"/>
        </w:rPr>
        <w:t xml:space="preserve">    照明设计参数 的参照依据调整为 JT/T 1214-2018《港口高杆灯通用技术要求》，确保了与现行行业标准的协调一致。</w:t>
      </w:r>
    </w:p>
    <w:p w14:paraId="7CBCE912">
      <w:pPr>
        <w:rPr>
          <w:rFonts w:hint="eastAsia"/>
          <w:sz w:val="28"/>
          <w:szCs w:val="28"/>
        </w:rPr>
      </w:pPr>
      <w:r>
        <w:rPr>
          <w:rFonts w:hint="eastAsia"/>
          <w:sz w:val="28"/>
          <w:szCs w:val="28"/>
        </w:rPr>
        <w:t xml:space="preserve">    此项调整使标准的技术依据更扎实，避免了因引用文件难以获取或内容重叠可能引起的执行困惑。</w:t>
      </w:r>
    </w:p>
    <w:p w14:paraId="190DE799">
      <w:pPr>
        <w:rPr>
          <w:rFonts w:hint="eastAsia"/>
          <w:sz w:val="28"/>
          <w:szCs w:val="28"/>
        </w:rPr>
      </w:pPr>
      <w:r>
        <w:rPr>
          <w:rFonts w:hint="eastAsia"/>
          <w:sz w:val="28"/>
          <w:szCs w:val="28"/>
        </w:rPr>
        <w:t>2. 关于技术要求和试验方法的统一与细化：</w:t>
      </w:r>
    </w:p>
    <w:p w14:paraId="3CA0BC87">
      <w:pPr>
        <w:rPr>
          <w:rFonts w:hint="eastAsia"/>
          <w:sz w:val="28"/>
          <w:szCs w:val="28"/>
        </w:rPr>
      </w:pPr>
      <w:r>
        <w:rPr>
          <w:rFonts w:hint="eastAsia"/>
          <w:sz w:val="28"/>
          <w:szCs w:val="28"/>
        </w:rPr>
        <w:t xml:space="preserve">    试验方法具体化： 对每一项试验方法都给出了更明确的测试条件、设备和程序描述。例如，明确了环境适应性试验中的具体温湿度条件、保持时间及测试状态；明确了可靠性试验的时长和环境要求。这极大地增强了标准的可检验性，为生产企业进行产品检测和第三方机构进行认证提供了清晰指南。</w:t>
      </w:r>
    </w:p>
    <w:p w14:paraId="504E0A2E">
      <w:pPr>
        <w:rPr>
          <w:rFonts w:hint="eastAsia"/>
          <w:sz w:val="28"/>
          <w:szCs w:val="28"/>
        </w:rPr>
      </w:pPr>
      <w:r>
        <w:rPr>
          <w:rFonts w:hint="eastAsia"/>
          <w:sz w:val="28"/>
          <w:szCs w:val="28"/>
        </w:rPr>
        <w:t>3. 关于检验规则的完善：</w:t>
      </w:r>
    </w:p>
    <w:p w14:paraId="7631D816">
      <w:pPr>
        <w:rPr>
          <w:sz w:val="28"/>
          <w:szCs w:val="28"/>
        </w:rPr>
      </w:pPr>
      <w:r>
        <w:rPr>
          <w:rFonts w:hint="eastAsia"/>
          <w:sz w:val="28"/>
          <w:szCs w:val="28"/>
        </w:rPr>
        <w:t xml:space="preserve">   表1清晰列出了所有检验项目与其对应的“技术要求”和“试验方法”章条号，并明确区分了“出厂检验”和“型式检验”各自需要检验的项目。</w:t>
      </w:r>
    </w:p>
    <w:p w14:paraId="52CA0CB3">
      <w:pPr>
        <w:rPr>
          <w:sz w:val="28"/>
          <w:szCs w:val="28"/>
        </w:rPr>
      </w:pPr>
      <w:r>
        <w:rPr>
          <w:rFonts w:hint="eastAsia"/>
          <w:sz w:val="28"/>
          <w:szCs w:val="28"/>
        </w:rPr>
        <w:t>三、 主要试验（或验证）情况分析</w:t>
      </w:r>
    </w:p>
    <w:p w14:paraId="5887BFBC">
      <w:pPr>
        <w:rPr>
          <w:sz w:val="28"/>
          <w:szCs w:val="28"/>
        </w:rPr>
      </w:pPr>
      <w:r>
        <w:rPr>
          <w:rFonts w:hint="eastAsia"/>
          <w:sz w:val="28"/>
          <w:szCs w:val="28"/>
        </w:rPr>
        <w:t xml:space="preserve">    标准中提出的主要技术指标和试验方法，其合理性和可行性得到了起草单位更为充分的验证。</w:t>
      </w:r>
    </w:p>
    <w:p w14:paraId="03E726F7">
      <w:pPr>
        <w:rPr>
          <w:sz w:val="28"/>
          <w:szCs w:val="28"/>
        </w:rPr>
      </w:pPr>
      <w:r>
        <w:rPr>
          <w:rFonts w:hint="eastAsia"/>
          <w:sz w:val="28"/>
          <w:szCs w:val="28"/>
        </w:rPr>
        <w:t xml:space="preserve">    技术要求和试验方法对应关系严谨，测试条件（如-40℃~+50℃的高低温循环、40℃/93%RH的湿热试验）符合港口环境的严酷工况，试验方法均引用或参考了成熟的国家标准，科学且可重复。</w:t>
      </w:r>
    </w:p>
    <w:p w14:paraId="50933510">
      <w:pPr>
        <w:rPr>
          <w:rFonts w:hint="eastAsia"/>
          <w:sz w:val="28"/>
          <w:szCs w:val="28"/>
        </w:rPr>
      </w:pPr>
      <w:r>
        <w:rPr>
          <w:rFonts w:hint="eastAsia"/>
          <w:sz w:val="28"/>
          <w:szCs w:val="28"/>
        </w:rPr>
        <w:t>四、 产业化情况、推广应用论证和预期达到的经济效果</w:t>
      </w:r>
    </w:p>
    <w:p w14:paraId="71F20972">
      <w:pPr>
        <w:rPr>
          <w:sz w:val="28"/>
          <w:szCs w:val="28"/>
        </w:rPr>
      </w:pPr>
      <w:r>
        <w:rPr>
          <w:rFonts w:hint="eastAsia"/>
          <w:sz w:val="28"/>
          <w:szCs w:val="28"/>
        </w:rPr>
        <w:t xml:space="preserve">   1. </w:t>
      </w:r>
      <w:r>
        <w:rPr>
          <w:rFonts w:hint="eastAsia" w:ascii="宋体" w:hAnsi="宋体"/>
          <w:sz w:val="28"/>
          <w:szCs w:val="28"/>
        </w:rPr>
        <w:t>宣传推广：主要起草单位通过会议、培训、出版物等多种形式，向港口用户、设计单位、灯具制造商广泛宣传本标准，提高行业认知度。</w:t>
      </w:r>
    </w:p>
    <w:p w14:paraId="4D05DCD7">
      <w:pPr>
        <w:rPr>
          <w:rFonts w:hint="eastAsia"/>
          <w:sz w:val="28"/>
          <w:szCs w:val="28"/>
        </w:rPr>
      </w:pPr>
      <w:r>
        <w:rPr>
          <w:rFonts w:hint="eastAsia"/>
          <w:sz w:val="28"/>
          <w:szCs w:val="28"/>
        </w:rPr>
        <w:t xml:space="preserve">    2. </w:t>
      </w:r>
      <w:r>
        <w:rPr>
          <w:rFonts w:hint="eastAsia" w:ascii="宋体" w:hAnsi="宋体"/>
          <w:sz w:val="28"/>
          <w:szCs w:val="28"/>
        </w:rPr>
        <w:t>采信应用：鼓励各港口集团在企业采购招标文件中明确引用本标准作为技术依据，引导市场采购符合高标准、高质量的产品。</w:t>
      </w:r>
    </w:p>
    <w:p w14:paraId="451CED91">
      <w:pPr>
        <w:rPr>
          <w:rFonts w:hint="eastAsia"/>
          <w:sz w:val="28"/>
          <w:szCs w:val="28"/>
        </w:rPr>
      </w:pPr>
      <w:r>
        <w:rPr>
          <w:rFonts w:hint="eastAsia"/>
          <w:sz w:val="28"/>
          <w:szCs w:val="28"/>
        </w:rPr>
        <w:t xml:space="preserve">    3. </w:t>
      </w:r>
      <w:r>
        <w:rPr>
          <w:rFonts w:hint="eastAsia" w:ascii="宋体" w:hAnsi="宋体"/>
          <w:sz w:val="28"/>
          <w:szCs w:val="28"/>
        </w:rPr>
        <w:t>检测认证：鼓励第三方检测机构依据本标准开展检测认证服务，为产品质量提供证明，为用户选择提供参考。</w:t>
      </w:r>
    </w:p>
    <w:p w14:paraId="4908197D">
      <w:pPr>
        <w:rPr>
          <w:sz w:val="28"/>
          <w:szCs w:val="28"/>
        </w:rPr>
      </w:pPr>
      <w:r>
        <w:rPr>
          <w:rFonts w:hint="eastAsia"/>
          <w:sz w:val="28"/>
          <w:szCs w:val="28"/>
        </w:rPr>
        <w:t xml:space="preserve">    4. </w:t>
      </w:r>
      <w:r>
        <w:rPr>
          <w:rFonts w:hint="eastAsia" w:ascii="宋体" w:hAnsi="宋体"/>
          <w:sz w:val="28"/>
          <w:szCs w:val="28"/>
        </w:rPr>
        <w:t>反馈机制：建立标准实施反馈渠道，收集实施过程中遇到的问题，为标准的后续修订和完善积累数据。</w:t>
      </w:r>
    </w:p>
    <w:p w14:paraId="27FB489F">
      <w:pPr>
        <w:rPr>
          <w:sz w:val="28"/>
          <w:szCs w:val="28"/>
        </w:rPr>
      </w:pPr>
      <w:r>
        <w:rPr>
          <w:rFonts w:hint="eastAsia"/>
          <w:sz w:val="28"/>
          <w:szCs w:val="28"/>
        </w:rPr>
        <w:t>五、 采用国际标准和国外先进标准的情况</w:t>
      </w:r>
    </w:p>
    <w:p w14:paraId="4E326CC3">
      <w:pPr>
        <w:rPr>
          <w:rFonts w:hint="eastAsia"/>
          <w:sz w:val="28"/>
          <w:szCs w:val="28"/>
        </w:rPr>
      </w:pPr>
      <w:r>
        <w:rPr>
          <w:rFonts w:hint="eastAsia"/>
          <w:sz w:val="28"/>
          <w:szCs w:val="28"/>
        </w:rPr>
        <w:t xml:space="preserve">    本标准在制定过程中非等效采用了国际先进的测试理念和方法（如LED寿命推算方法），但具体技术要求与试验方法均与 GB/T 7000系列、GB/T 20138、JT/T 1214-2018 等国内现行标准保持协调一致，确保了标准的适用性和先进性。</w:t>
      </w:r>
    </w:p>
    <w:p w14:paraId="702713CA">
      <w:pPr>
        <w:rPr>
          <w:sz w:val="28"/>
          <w:szCs w:val="28"/>
        </w:rPr>
      </w:pPr>
      <w:r>
        <w:rPr>
          <w:rFonts w:hint="eastAsia"/>
          <w:sz w:val="28"/>
          <w:szCs w:val="28"/>
        </w:rPr>
        <w:t>六、 与现行相关法律、法规、规章及相关标准的协调性</w:t>
      </w:r>
    </w:p>
    <w:p w14:paraId="245D68CC">
      <w:pPr>
        <w:rPr>
          <w:sz w:val="28"/>
          <w:szCs w:val="28"/>
        </w:rPr>
      </w:pPr>
      <w:r>
        <w:rPr>
          <w:rFonts w:hint="eastAsia"/>
          <w:sz w:val="28"/>
          <w:szCs w:val="28"/>
        </w:rPr>
        <w:t xml:space="preserve">    本标准与《中华人民共和国标准化法》等相关法律法规无冲突。与 GB/T 7000.1、GB/T 7000.203 等国家标准要求协调一致，并作为 JT/T 1214-2018 行业标准在“灯具”部件上的补充和细化，共同构成了更为完善的港口高杆照明标准体系。</w:t>
      </w:r>
    </w:p>
    <w:p w14:paraId="63F733AD">
      <w:pPr>
        <w:rPr>
          <w:sz w:val="28"/>
          <w:szCs w:val="28"/>
        </w:rPr>
      </w:pPr>
      <w:r>
        <w:rPr>
          <w:rFonts w:hint="eastAsia"/>
          <w:sz w:val="28"/>
          <w:szCs w:val="28"/>
        </w:rPr>
        <w:t>七、 重大分歧意见的处理经过和依据</w:t>
      </w:r>
    </w:p>
    <w:p w14:paraId="3F90B24D">
      <w:pPr>
        <w:rPr>
          <w:sz w:val="28"/>
          <w:szCs w:val="28"/>
        </w:rPr>
      </w:pPr>
      <w:r>
        <w:rPr>
          <w:rFonts w:hint="eastAsia"/>
          <w:sz w:val="28"/>
          <w:szCs w:val="28"/>
        </w:rPr>
        <w:t xml:space="preserve">    在标准制定过程中，对于引用文件的技术结构与试验方法的统一，起草组内部经过充分讨论，认为逻辑更清晰，操作性更强，意见达成一致，无重大分歧。</w:t>
      </w:r>
    </w:p>
    <w:p w14:paraId="6487ADA4">
      <w:pPr>
        <w:rPr>
          <w:sz w:val="28"/>
          <w:szCs w:val="28"/>
        </w:rPr>
      </w:pPr>
      <w:r>
        <w:rPr>
          <w:rFonts w:hint="eastAsia"/>
          <w:sz w:val="28"/>
          <w:szCs w:val="28"/>
        </w:rPr>
        <w:t xml:space="preserve"> </w:t>
      </w:r>
    </w:p>
    <w:p w14:paraId="1B1B6116">
      <w:pPr>
        <w:rPr>
          <w:sz w:val="28"/>
          <w:szCs w:val="28"/>
        </w:rPr>
      </w:pPr>
    </w:p>
    <w:p w14:paraId="092129BC">
      <w:pPr>
        <w:rPr>
          <w:rFonts w:hint="eastAsia"/>
          <w:sz w:val="28"/>
          <w:szCs w:val="28"/>
        </w:rPr>
      </w:pPr>
      <w:r>
        <w:rPr>
          <w:rFonts w:hint="eastAsia"/>
          <w:sz w:val="28"/>
          <w:szCs w:val="28"/>
        </w:rPr>
        <w:t xml:space="preserve">        《港口高杆灯照明灯具技术规范》团体标准起草组</w:t>
      </w:r>
    </w:p>
    <w:p w14:paraId="3D649B78">
      <w:pPr>
        <w:rPr>
          <w:rFonts w:hint="eastAsia"/>
          <w:sz w:val="28"/>
          <w:szCs w:val="28"/>
        </w:rPr>
      </w:pPr>
    </w:p>
    <w:p w14:paraId="39180D35">
      <w:pPr>
        <w:rPr>
          <w:rFonts w:hint="eastAsia"/>
          <w:sz w:val="28"/>
          <w:szCs w:val="28"/>
        </w:rPr>
      </w:pPr>
      <w:r>
        <w:rPr>
          <w:rFonts w:hint="eastAsia"/>
          <w:sz w:val="28"/>
          <w:szCs w:val="28"/>
        </w:rPr>
        <w:t xml:space="preserve">                                    2025年09月  日</w:t>
      </w:r>
    </w:p>
    <w:p w14:paraId="126AA6BB">
      <w:pPr>
        <w:rPr>
          <w:rFonts w:hint="eastAsia"/>
          <w:sz w:val="28"/>
          <w:szCs w:val="28"/>
        </w:rPr>
      </w:pP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D1653"/>
    <w:rsid w:val="00336121"/>
    <w:rsid w:val="004D1653"/>
    <w:rsid w:val="00F54D1F"/>
    <w:rsid w:val="07E61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2175</Words>
  <Characters>2295</Characters>
  <Lines>18</Lines>
  <Paragraphs>5</Paragraphs>
  <TotalTime>1</TotalTime>
  <ScaleCrop>false</ScaleCrop>
  <LinksUpToDate>false</LinksUpToDate>
  <CharactersWithSpaces>2490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2025-09-23T13:24:00Z</dcterms:created>
  <dc:creator>admin</dc:creator>
  <cp:lastModifiedBy>果.冻</cp:lastModifiedBy>
  <dcterms:modified xsi:type="dcterms:W3CDTF">2025-09-23T14:04:58Z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eyJoZGlkIjoiMWQ0NWZhMTk5NDdjYmU4ZDU4OTEzNzY1MGFkNDkyZTEiLCJ1c2VySWQiOiI1MTk4NTQzMTAifQ==</vt:lpwstr>
  </property>
  <property fmtid="{D5CDD505-2E9C-101B-9397-08002B2CF9AE}" pid="3" name="KSOProductBuildVer">
    <vt:lpwstr>2052-12.1.0.22529</vt:lpwstr>
  </property>
  <property fmtid="{D5CDD505-2E9C-101B-9397-08002B2CF9AE}" pid="4" name="ICV">
    <vt:lpwstr>78BD9699E8CB4041ABCAEA6255298A60_12</vt:lpwstr>
  </property>
</Properties>
</file>