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FF44A">
      <w:pPr>
        <w:adjustRightInd w:val="0"/>
        <w:snapToGrid w:val="0"/>
        <w:spacing w:before="156" w:beforeLines="50" w:line="360" w:lineRule="auto"/>
        <w:ind w:firstLine="0" w:firstLineChars="0"/>
        <w:rPr>
          <w:rFonts w:eastAsia="宋体"/>
          <w:b/>
          <w:sz w:val="52"/>
          <w:szCs w:val="52"/>
        </w:rPr>
      </w:pPr>
    </w:p>
    <w:p w14:paraId="19F47389">
      <w:pPr>
        <w:adjustRightInd w:val="0"/>
        <w:snapToGrid w:val="0"/>
        <w:spacing w:before="156" w:beforeLines="50" w:line="360" w:lineRule="auto"/>
        <w:ind w:firstLine="0" w:firstLineChars="0"/>
        <w:jc w:val="center"/>
        <w:rPr>
          <w:rFonts w:eastAsia="宋体"/>
          <w:b/>
          <w:sz w:val="48"/>
          <w:szCs w:val="48"/>
        </w:rPr>
      </w:pPr>
      <w:r>
        <w:rPr>
          <w:rFonts w:hint="eastAsia" w:eastAsia="宋体"/>
          <w:b/>
          <w:sz w:val="44"/>
          <w:szCs w:val="48"/>
          <w:lang w:val="en-US" w:eastAsia="zh-CN"/>
        </w:rPr>
        <w:t>团体</w:t>
      </w:r>
      <w:r>
        <w:rPr>
          <w:rFonts w:eastAsia="宋体"/>
          <w:b/>
          <w:sz w:val="44"/>
          <w:szCs w:val="48"/>
        </w:rPr>
        <w:t>标准</w:t>
      </w:r>
    </w:p>
    <w:p w14:paraId="48D40BDF">
      <w:pPr>
        <w:adjustRightInd w:val="0"/>
        <w:snapToGrid w:val="0"/>
        <w:spacing w:before="156" w:beforeLines="50" w:line="360" w:lineRule="auto"/>
        <w:ind w:left="-140" w:leftChars="-50" w:right="-140" w:rightChars="-50" w:firstLine="0" w:firstLineChars="0"/>
        <w:jc w:val="center"/>
        <w:rPr>
          <w:rFonts w:eastAsia="宋体"/>
          <w:b/>
          <w:sz w:val="44"/>
          <w:szCs w:val="48"/>
        </w:rPr>
      </w:pPr>
      <w:r>
        <w:rPr>
          <w:rFonts w:eastAsia="宋体"/>
          <w:b/>
          <w:sz w:val="44"/>
          <w:szCs w:val="48"/>
        </w:rPr>
        <w:t>《</w:t>
      </w:r>
      <w:r>
        <w:rPr>
          <w:rFonts w:hint="eastAsia" w:eastAsia="宋体"/>
          <w:b/>
          <w:sz w:val="44"/>
          <w:szCs w:val="48"/>
        </w:rPr>
        <w:t>秸秆蒸汽爆破</w:t>
      </w:r>
      <w:r>
        <w:rPr>
          <w:rFonts w:hint="eastAsia" w:eastAsia="宋体"/>
          <w:b/>
          <w:sz w:val="44"/>
          <w:szCs w:val="48"/>
          <w:lang w:val="en-US" w:eastAsia="zh-CN"/>
        </w:rPr>
        <w:t>制浆</w:t>
      </w:r>
      <w:r>
        <w:rPr>
          <w:rFonts w:hint="eastAsia" w:eastAsia="宋体"/>
          <w:b/>
          <w:sz w:val="44"/>
          <w:szCs w:val="48"/>
        </w:rPr>
        <w:t>生产工艺技术规范</w:t>
      </w:r>
      <w:r>
        <w:rPr>
          <w:rFonts w:eastAsia="宋体"/>
          <w:b/>
          <w:sz w:val="44"/>
          <w:szCs w:val="48"/>
        </w:rPr>
        <w:t>》</w:t>
      </w:r>
    </w:p>
    <w:p w14:paraId="0B3FDBEF">
      <w:pPr>
        <w:adjustRightInd w:val="0"/>
        <w:snapToGrid w:val="0"/>
        <w:spacing w:before="156" w:beforeLines="50" w:line="360" w:lineRule="auto"/>
        <w:ind w:firstLine="0" w:firstLineChars="0"/>
        <w:jc w:val="center"/>
        <w:rPr>
          <w:rFonts w:eastAsia="宋体"/>
          <w:b/>
          <w:sz w:val="44"/>
          <w:szCs w:val="48"/>
        </w:rPr>
      </w:pPr>
      <w:r>
        <w:rPr>
          <w:rFonts w:eastAsia="宋体"/>
          <w:b/>
          <w:sz w:val="44"/>
          <w:szCs w:val="48"/>
        </w:rPr>
        <w:t>（</w:t>
      </w:r>
      <w:r>
        <w:rPr>
          <w:rFonts w:hint="eastAsia" w:eastAsia="宋体"/>
          <w:b/>
          <w:sz w:val="44"/>
          <w:szCs w:val="48"/>
        </w:rPr>
        <w:t>征求</w:t>
      </w:r>
      <w:r>
        <w:rPr>
          <w:rFonts w:eastAsia="宋体"/>
          <w:b/>
          <w:sz w:val="44"/>
          <w:szCs w:val="48"/>
        </w:rPr>
        <w:t>意见稿）</w:t>
      </w:r>
    </w:p>
    <w:p w14:paraId="54F62E85">
      <w:pPr>
        <w:adjustRightInd w:val="0"/>
        <w:snapToGrid w:val="0"/>
        <w:spacing w:before="156" w:beforeLines="50" w:line="360" w:lineRule="auto"/>
        <w:ind w:firstLine="0" w:firstLineChars="0"/>
        <w:jc w:val="center"/>
        <w:rPr>
          <w:rFonts w:eastAsia="宋体"/>
          <w:b/>
          <w:sz w:val="44"/>
          <w:szCs w:val="48"/>
        </w:rPr>
      </w:pPr>
      <w:r>
        <w:rPr>
          <w:rFonts w:eastAsia="宋体"/>
          <w:b/>
          <w:sz w:val="44"/>
          <w:szCs w:val="48"/>
        </w:rPr>
        <w:t>编制说明</w:t>
      </w:r>
    </w:p>
    <w:p w14:paraId="25822B24">
      <w:pPr>
        <w:adjustRightInd w:val="0"/>
        <w:snapToGrid w:val="0"/>
        <w:spacing w:before="156" w:beforeLines="50" w:line="360" w:lineRule="auto"/>
        <w:ind w:firstLine="0" w:firstLineChars="0"/>
        <w:rPr>
          <w:rFonts w:eastAsia="宋体"/>
          <w:b/>
          <w:sz w:val="52"/>
          <w:szCs w:val="52"/>
        </w:rPr>
      </w:pPr>
    </w:p>
    <w:p w14:paraId="53928D89">
      <w:pPr>
        <w:adjustRightInd w:val="0"/>
        <w:snapToGrid w:val="0"/>
        <w:spacing w:before="156" w:beforeLines="50" w:line="360" w:lineRule="auto"/>
        <w:ind w:firstLine="0" w:firstLineChars="0"/>
        <w:jc w:val="center"/>
        <w:rPr>
          <w:rFonts w:eastAsia="宋体"/>
          <w:b/>
          <w:sz w:val="52"/>
          <w:szCs w:val="52"/>
        </w:rPr>
      </w:pPr>
    </w:p>
    <w:p w14:paraId="6E2B54F4">
      <w:pPr>
        <w:adjustRightInd w:val="0"/>
        <w:snapToGrid w:val="0"/>
        <w:spacing w:before="156" w:beforeLines="50" w:line="360" w:lineRule="auto"/>
        <w:ind w:firstLine="0" w:firstLineChars="0"/>
        <w:jc w:val="center"/>
        <w:rPr>
          <w:rFonts w:eastAsia="宋体"/>
          <w:b/>
          <w:sz w:val="52"/>
          <w:szCs w:val="52"/>
        </w:rPr>
      </w:pPr>
    </w:p>
    <w:p w14:paraId="70B3EF08">
      <w:pPr>
        <w:adjustRightInd w:val="0"/>
        <w:snapToGrid w:val="0"/>
        <w:spacing w:before="156" w:beforeLines="50" w:line="360" w:lineRule="auto"/>
        <w:ind w:firstLine="0" w:firstLineChars="0"/>
        <w:jc w:val="center"/>
        <w:rPr>
          <w:rFonts w:eastAsia="宋体"/>
          <w:b/>
          <w:sz w:val="52"/>
          <w:szCs w:val="52"/>
        </w:rPr>
      </w:pPr>
    </w:p>
    <w:p w14:paraId="1C054FDF">
      <w:pPr>
        <w:adjustRightInd w:val="0"/>
        <w:snapToGrid w:val="0"/>
        <w:spacing w:before="156" w:beforeLines="50" w:line="360" w:lineRule="auto"/>
        <w:ind w:firstLine="0" w:firstLineChars="0"/>
        <w:jc w:val="center"/>
        <w:rPr>
          <w:rFonts w:eastAsia="宋体"/>
          <w:b/>
          <w:sz w:val="52"/>
          <w:szCs w:val="52"/>
        </w:rPr>
      </w:pPr>
    </w:p>
    <w:p w14:paraId="02CFDE59">
      <w:pPr>
        <w:tabs>
          <w:tab w:val="left" w:pos="1488"/>
          <w:tab w:val="center" w:pos="4060"/>
        </w:tabs>
        <w:adjustRightInd w:val="0"/>
        <w:snapToGrid w:val="0"/>
        <w:spacing w:before="156" w:beforeLines="50" w:line="360" w:lineRule="auto"/>
        <w:ind w:firstLine="0" w:firstLineChars="0"/>
        <w:jc w:val="left"/>
        <w:rPr>
          <w:rFonts w:eastAsia="黑体"/>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985" w:header="851" w:footer="992" w:gutter="0"/>
          <w:cols w:space="720" w:num="1"/>
          <w:docGrid w:type="lines" w:linePitch="312" w:charSpace="0"/>
        </w:sectPr>
      </w:pPr>
      <w:r>
        <w:rPr>
          <w:rFonts w:eastAsia="黑体"/>
          <w:b/>
          <w:sz w:val="30"/>
          <w:szCs w:val="30"/>
        </w:rPr>
        <w:tab/>
      </w:r>
    </w:p>
    <w:p w14:paraId="40DA185E">
      <w:pPr>
        <w:adjustRightInd w:val="0"/>
        <w:snapToGrid w:val="0"/>
        <w:spacing w:before="156" w:beforeLines="50" w:line="360" w:lineRule="auto"/>
        <w:ind w:firstLine="0" w:firstLineChars="0"/>
        <w:rPr>
          <w:rFonts w:eastAsia="黑体"/>
          <w:b/>
          <w:sz w:val="32"/>
          <w:szCs w:val="32"/>
        </w:rPr>
      </w:pPr>
      <w:r>
        <w:rPr>
          <w:rFonts w:eastAsia="黑体"/>
          <w:b/>
          <w:sz w:val="32"/>
          <w:szCs w:val="32"/>
        </w:rPr>
        <w:t>一、立项背景及任务来源</w:t>
      </w:r>
    </w:p>
    <w:p w14:paraId="5C6B91AF">
      <w:pPr>
        <w:pStyle w:val="8"/>
        <w:spacing w:before="156" w:beforeLines="50" w:after="156" w:afterLines="50"/>
        <w:ind w:firstLine="0" w:firstLineChars="0"/>
        <w:rPr>
          <w:color w:val="000000"/>
        </w:rPr>
      </w:pPr>
      <w:r>
        <w:rPr>
          <w:rFonts w:hint="eastAsia"/>
          <w:color w:val="000000"/>
        </w:rPr>
        <w:t>（一）立项</w:t>
      </w:r>
      <w:r>
        <w:rPr>
          <w:color w:val="000000"/>
        </w:rPr>
        <w:t>背景</w:t>
      </w:r>
    </w:p>
    <w:p w14:paraId="75BD454C">
      <w:pPr>
        <w:adjustRightInd w:val="0"/>
        <w:snapToGrid w:val="0"/>
        <w:spacing w:before="156" w:beforeLines="50" w:line="360" w:lineRule="auto"/>
        <w:ind w:firstLine="480"/>
        <w:rPr>
          <w:rFonts w:hint="eastAsia" w:eastAsia="仿宋"/>
          <w:sz w:val="24"/>
          <w:lang w:eastAsia="zh-CN"/>
        </w:rPr>
      </w:pPr>
      <w:r>
        <w:rPr>
          <w:rFonts w:hint="eastAsia" w:eastAsia="仿宋"/>
          <w:sz w:val="24"/>
        </w:rPr>
        <w:t>随着我国造纸工业的快速发展，纸张总产量的迅速增长，造纸纤维原料的供给不足已成为影响我国造纸工业发展的重要因素。造纸纤维原料短缺问题，今后仍然是主要矛盾。长期靠进口来解决我国造纸原料严重短缺不是一个根本解决办法，尤其是当前能源价格的高涨，运输成本大幅度增加，同时潜在影响国家经济安全的危险性也在增大。这是不容我们忽视的严重问题。造纸原料资源的供给问题，是我国造纸工业发展的最大难题。目前解决造纸制浆排放污染的途径一是碱回收技术</w:t>
      </w:r>
      <w:r>
        <w:rPr>
          <w:rFonts w:hint="eastAsia" w:eastAsia="仿宋"/>
          <w:sz w:val="24"/>
          <w:lang w:eastAsia="zh-CN"/>
        </w:rPr>
        <w:t>；</w:t>
      </w:r>
      <w:r>
        <w:rPr>
          <w:rFonts w:hint="eastAsia" w:eastAsia="仿宋"/>
          <w:sz w:val="24"/>
        </w:rPr>
        <w:t>二是物化加生化技术。但这两类技术没有从根本上解决污染问题。因而开发利用新的纤维资源，科学合理利用好各种非木材纤维原料资源是非常重要的。但造纸工业要合理利用非木纤维资源，减少污染、保护环境，这是传统的制浆方法已无力承担的重任，必须开发新的制浆工艺</w:t>
      </w:r>
      <w:r>
        <w:rPr>
          <w:rFonts w:hint="eastAsia" w:eastAsia="仿宋"/>
          <w:sz w:val="24"/>
          <w:lang w:eastAsia="zh-CN"/>
        </w:rPr>
        <w:t>。</w:t>
      </w:r>
    </w:p>
    <w:p w14:paraId="7707D5D1">
      <w:pPr>
        <w:adjustRightInd w:val="0"/>
        <w:snapToGrid w:val="0"/>
        <w:spacing w:before="156" w:beforeLines="50" w:line="360" w:lineRule="auto"/>
        <w:ind w:firstLine="480"/>
        <w:rPr>
          <w:rFonts w:hint="eastAsia" w:eastAsia="仿宋"/>
          <w:sz w:val="24"/>
          <w:lang w:val="en-US" w:eastAsia="zh-CN"/>
        </w:rPr>
      </w:pPr>
      <w:r>
        <w:rPr>
          <w:rFonts w:hint="eastAsia" w:eastAsia="仿宋"/>
          <w:sz w:val="24"/>
          <w:lang w:val="en-US" w:eastAsia="zh-CN"/>
        </w:rPr>
        <w:t>秸秆</w:t>
      </w:r>
      <w:r>
        <w:rPr>
          <w:rFonts w:hint="eastAsia" w:eastAsia="仿宋"/>
          <w:sz w:val="24"/>
        </w:rPr>
        <w:t>由于其纤维特点，适合制备高品质纸浆。</w:t>
      </w:r>
      <w:r>
        <w:rPr>
          <w:rFonts w:eastAsia="仿宋"/>
          <w:sz w:val="24"/>
        </w:rPr>
        <w:t>我国秸秆资源丰富，</w:t>
      </w:r>
      <w:r>
        <w:rPr>
          <w:rFonts w:hint="eastAsia" w:eastAsia="仿宋"/>
          <w:sz w:val="24"/>
        </w:rPr>
        <w:t>根据农业农村部农作物秸秆资源台账数据，2021年全国秸秆利用量6.47亿吨</w:t>
      </w:r>
      <w:r>
        <w:rPr>
          <w:rFonts w:hint="eastAsia" w:eastAsia="仿宋"/>
          <w:sz w:val="24"/>
          <w:lang w:eastAsia="zh-CN"/>
        </w:rPr>
        <w:t>。</w:t>
      </w:r>
      <w:r>
        <w:rPr>
          <w:rFonts w:hint="eastAsia" w:eastAsia="仿宋"/>
          <w:sz w:val="24"/>
          <w:lang w:val="en-US" w:eastAsia="zh-CN"/>
        </w:rPr>
        <w:t>因此，有必要创建一个以秸秆等木质纤维素为通用原料的工业新模式，重点突破秸秆原料作为新一代生物及化工产业原料炼制的关键问题，从工程角度突破制约原料成为工业原料的科学问题。以基础科学研究为手段，利用工程实践的思维，以循环经济理念为指导，对秸秆原料聚集态进行结构拆分与功能利用。对于原料，要提高其均一性，进行结构拆分和定向转化；对于技术和设备，要突破关键技术，开发关键设备并进行过程集成。只有这样才能实现多联产，提高产品性能，降低生产成本。</w:t>
      </w:r>
    </w:p>
    <w:p w14:paraId="073C4C29">
      <w:pPr>
        <w:adjustRightInd w:val="0"/>
        <w:snapToGrid w:val="0"/>
        <w:spacing w:before="156" w:beforeLines="50" w:line="360" w:lineRule="auto"/>
        <w:ind w:firstLine="480"/>
        <w:rPr>
          <w:rFonts w:hint="eastAsia" w:eastAsia="仿宋"/>
          <w:sz w:val="24"/>
          <w:lang w:eastAsia="zh-CN"/>
        </w:rPr>
      </w:pPr>
      <w:r>
        <w:rPr>
          <w:rFonts w:hint="eastAsia" w:eastAsia="仿宋"/>
          <w:sz w:val="24"/>
        </w:rPr>
        <w:t>蒸汽爆破技术作为近些年新兴的纤维处理技术，其技术原理是将蒸汽分子渗进植物组织内部，然后瞬时释放完毕，使蒸汽内能转化为机械能，作用于植物组织细胞层间，破坏纤维结构并释放营养物质。该技术具有时间短、成本低、无污染、效果好等优点，经研究发现，蒸汽爆破后秸秆的利用率显著提升</w:t>
      </w:r>
      <w:r>
        <w:rPr>
          <w:rFonts w:hint="eastAsia" w:eastAsia="仿宋"/>
          <w:sz w:val="24"/>
          <w:lang w:eastAsia="zh-CN"/>
        </w:rPr>
        <w:t>。</w:t>
      </w:r>
    </w:p>
    <w:p w14:paraId="239DC66A">
      <w:pPr>
        <w:adjustRightInd w:val="0"/>
        <w:snapToGrid w:val="0"/>
        <w:spacing w:before="156" w:beforeLines="50" w:line="360" w:lineRule="auto"/>
        <w:ind w:firstLine="480"/>
        <w:rPr>
          <w:rFonts w:hint="eastAsia" w:eastAsia="仿宋"/>
          <w:sz w:val="24"/>
        </w:rPr>
      </w:pPr>
      <w:r>
        <w:rPr>
          <w:rFonts w:hint="eastAsia" w:eastAsia="仿宋"/>
          <w:sz w:val="24"/>
        </w:rPr>
        <w:t>秸秆等原料通过蒸汽爆破技术与机械梳分技术</w:t>
      </w:r>
      <w:r>
        <w:rPr>
          <w:rFonts w:hint="eastAsia" w:eastAsia="仿宋"/>
          <w:sz w:val="24"/>
          <w:lang w:eastAsia="zh-CN"/>
        </w:rPr>
        <w:t>（</w:t>
      </w:r>
      <w:r>
        <w:rPr>
          <w:rFonts w:hint="eastAsia" w:eastAsia="仿宋"/>
          <w:sz w:val="24"/>
          <w:lang w:val="en-US" w:eastAsia="zh-CN"/>
        </w:rPr>
        <w:t>负压风选</w:t>
      </w:r>
      <w:r>
        <w:rPr>
          <w:rFonts w:hint="eastAsia" w:eastAsia="仿宋"/>
          <w:sz w:val="24"/>
          <w:lang w:eastAsia="zh-CN"/>
        </w:rPr>
        <w:t>）</w:t>
      </w:r>
      <w:r>
        <w:rPr>
          <w:rFonts w:hint="eastAsia" w:eastAsia="仿宋"/>
          <w:sz w:val="24"/>
        </w:rPr>
        <w:t>的耦合，降低</w:t>
      </w:r>
      <w:r>
        <w:rPr>
          <w:rFonts w:hint="eastAsia" w:eastAsia="仿宋"/>
          <w:sz w:val="24"/>
          <w:lang w:val="en-US" w:eastAsia="zh-CN"/>
        </w:rPr>
        <w:t>秸秆</w:t>
      </w:r>
      <w:r>
        <w:rPr>
          <w:rFonts w:hint="eastAsia" w:eastAsia="仿宋"/>
          <w:sz w:val="24"/>
        </w:rPr>
        <w:t>原料中杂细胞的含量，从而制得性能优异的非木纤维浆粕。实施清洁生产新工艺，提高节能减排和综合利用水平，提高非木纤维制浆造纸质量。</w:t>
      </w:r>
    </w:p>
    <w:p w14:paraId="24C7220B">
      <w:pPr>
        <w:adjustRightInd w:val="0"/>
        <w:snapToGrid w:val="0"/>
        <w:spacing w:before="156" w:beforeLines="50" w:line="360" w:lineRule="auto"/>
        <w:ind w:firstLine="480"/>
        <w:rPr>
          <w:rFonts w:hint="eastAsia" w:eastAsia="仿宋"/>
          <w:sz w:val="24"/>
        </w:rPr>
      </w:pPr>
      <w:r>
        <w:rPr>
          <w:rFonts w:hint="eastAsia" w:eastAsia="仿宋"/>
          <w:sz w:val="24"/>
        </w:rPr>
        <w:t>本文件目的在于提供一种生物质长短纤维干法梳理分级的方法与设备，即针对植物纤维原料中纤维细胞与杂细胞组织(含细小纤维)利用中存在相互影响、相互制约，而现有的纤维分级方法产生大量污水，不适合工业化生产利用的问题，推荐了一种生物质原料长短纤维干法梳理分级的方法与设备，采用汽爆预处理与机械梳理组织分级相耦合，分离得到优质纤维组织、杂细胞组织(细小纤维组织)。长纤维束组织可用于造纸、纺织等工业应用的优质纤维原料，而薄壁细胞等组成的细小纤维可用于</w:t>
      </w:r>
      <w:r>
        <w:rPr>
          <w:rFonts w:hint="eastAsia" w:eastAsia="仿宋"/>
          <w:sz w:val="24"/>
          <w:lang w:val="en-US" w:eastAsia="zh-CN"/>
        </w:rPr>
        <w:t>饲料、人造板等</w:t>
      </w:r>
      <w:r>
        <w:rPr>
          <w:rFonts w:hint="eastAsia" w:eastAsia="仿宋"/>
          <w:sz w:val="24"/>
        </w:rPr>
        <w:t>产品，从而实现生物质原料的长短纤维组分分级分离、清洁、高值化利用。同时本文件还对纤维梳理分级的设计原理、设备参数及有关运行基础理论做了介绍，为梳分机的工业化放大提供了科学的理论依据。</w:t>
      </w:r>
    </w:p>
    <w:p w14:paraId="32B8117E">
      <w:pPr>
        <w:adjustRightInd w:val="0"/>
        <w:snapToGrid w:val="0"/>
        <w:spacing w:before="156" w:beforeLines="50" w:line="360" w:lineRule="auto"/>
        <w:ind w:firstLine="0" w:firstLineChars="0"/>
        <w:rPr>
          <w:rFonts w:eastAsia="黑体"/>
          <w:b/>
          <w:szCs w:val="28"/>
        </w:rPr>
      </w:pPr>
      <w:r>
        <w:rPr>
          <w:rFonts w:eastAsia="黑体"/>
          <w:b/>
          <w:szCs w:val="28"/>
        </w:rPr>
        <w:t>（二）任务来源</w:t>
      </w:r>
    </w:p>
    <w:p w14:paraId="1C52D5C3">
      <w:pPr>
        <w:adjustRightInd w:val="0"/>
        <w:snapToGrid w:val="0"/>
        <w:spacing w:before="156" w:beforeLines="50" w:line="360" w:lineRule="auto"/>
        <w:ind w:firstLine="480"/>
        <w:rPr>
          <w:rFonts w:hint="eastAsia" w:eastAsia="仿宋"/>
          <w:sz w:val="24"/>
        </w:rPr>
      </w:pPr>
      <w:r>
        <w:rPr>
          <w:rFonts w:hint="eastAsia" w:eastAsia="仿宋"/>
          <w:sz w:val="24"/>
        </w:rPr>
        <w:t>本标准依据大连市标准化协会《关于下达202</w:t>
      </w:r>
      <w:r>
        <w:rPr>
          <w:rFonts w:hint="eastAsia" w:eastAsia="仿宋"/>
          <w:sz w:val="24"/>
          <w:lang w:val="en-US" w:eastAsia="zh-CN"/>
        </w:rPr>
        <w:t>6</w:t>
      </w:r>
      <w:r>
        <w:rPr>
          <w:rFonts w:hint="eastAsia" w:eastAsia="仿宋"/>
          <w:sz w:val="24"/>
        </w:rPr>
        <w:t>年团体标准立项计划的通知》的要求编制，项目计划编号 202</w:t>
      </w:r>
      <w:r>
        <w:rPr>
          <w:rFonts w:hint="eastAsia" w:eastAsia="仿宋"/>
          <w:sz w:val="24"/>
          <w:lang w:val="en-US" w:eastAsia="zh-CN"/>
        </w:rPr>
        <w:t>6</w:t>
      </w:r>
      <w:r>
        <w:rPr>
          <w:rFonts w:hint="eastAsia" w:eastAsia="仿宋"/>
          <w:sz w:val="24"/>
        </w:rPr>
        <w:t>01。本标准由乾佰熙（大连）生物科技有限公司提出，经大连市标准化协会批准，于202</w:t>
      </w:r>
      <w:r>
        <w:rPr>
          <w:rFonts w:hint="eastAsia" w:eastAsia="仿宋"/>
          <w:sz w:val="24"/>
          <w:lang w:val="en-US" w:eastAsia="zh-CN"/>
        </w:rPr>
        <w:t>6</w:t>
      </w:r>
      <w:r>
        <w:rPr>
          <w:rFonts w:hint="eastAsia" w:eastAsia="仿宋"/>
          <w:sz w:val="24"/>
        </w:rPr>
        <w:t>年</w:t>
      </w:r>
      <w:r>
        <w:rPr>
          <w:rFonts w:hint="eastAsia" w:eastAsia="仿宋"/>
          <w:sz w:val="24"/>
          <w:lang w:val="en-US" w:eastAsia="zh-CN"/>
        </w:rPr>
        <w:t>1</w:t>
      </w:r>
      <w:r>
        <w:rPr>
          <w:rFonts w:hint="eastAsia" w:eastAsia="仿宋"/>
          <w:sz w:val="24"/>
        </w:rPr>
        <w:t>月</w:t>
      </w:r>
      <w:r>
        <w:rPr>
          <w:rFonts w:hint="eastAsia" w:eastAsia="仿宋"/>
          <w:sz w:val="24"/>
          <w:lang w:val="en-US" w:eastAsia="zh-CN"/>
        </w:rPr>
        <w:t>5</w:t>
      </w:r>
      <w:r>
        <w:rPr>
          <w:rFonts w:hint="eastAsia" w:eastAsia="仿宋"/>
          <w:sz w:val="24"/>
        </w:rPr>
        <w:t xml:space="preserve">日正式立项。 </w:t>
      </w:r>
    </w:p>
    <w:p w14:paraId="2993DF54">
      <w:pPr>
        <w:adjustRightInd w:val="0"/>
        <w:snapToGrid w:val="0"/>
        <w:spacing w:before="156" w:beforeLines="50" w:line="360" w:lineRule="auto"/>
        <w:ind w:firstLine="0" w:firstLineChars="0"/>
        <w:rPr>
          <w:rFonts w:eastAsia="黑体"/>
          <w:b/>
          <w:sz w:val="32"/>
          <w:szCs w:val="32"/>
        </w:rPr>
      </w:pPr>
      <w:r>
        <w:rPr>
          <w:rFonts w:eastAsia="黑体"/>
          <w:b/>
          <w:sz w:val="32"/>
          <w:szCs w:val="32"/>
        </w:rPr>
        <w:t>二、主要工作过程</w:t>
      </w:r>
    </w:p>
    <w:p w14:paraId="73F80B8A">
      <w:pPr>
        <w:widowControl/>
        <w:adjustRightInd w:val="0"/>
        <w:snapToGrid w:val="0"/>
        <w:spacing w:line="360" w:lineRule="auto"/>
        <w:ind w:firstLine="562"/>
        <w:jc w:val="left"/>
        <w:rPr>
          <w:rFonts w:ascii="仿宋" w:hAnsi="仿宋" w:eastAsia="仿宋" w:cs="仿宋"/>
          <w:b/>
          <w:bCs/>
          <w:color w:val="000000"/>
          <w:kern w:val="0"/>
          <w:szCs w:val="28"/>
          <w:lang w:bidi="ar"/>
        </w:rPr>
      </w:pPr>
      <w:r>
        <w:rPr>
          <w:rFonts w:hint="eastAsia" w:ascii="仿宋" w:hAnsi="仿宋" w:eastAsia="仿宋" w:cs="仿宋"/>
          <w:b/>
          <w:bCs/>
          <w:color w:val="000000"/>
          <w:kern w:val="0"/>
          <w:szCs w:val="28"/>
          <w:lang w:bidi="ar"/>
        </w:rPr>
        <w:t xml:space="preserve">第一阶段 </w:t>
      </w:r>
      <w:r>
        <w:rPr>
          <w:rFonts w:ascii="仿宋" w:hAnsi="仿宋" w:eastAsia="仿宋" w:cs="仿宋"/>
          <w:b/>
          <w:bCs/>
          <w:color w:val="000000"/>
          <w:kern w:val="0"/>
          <w:szCs w:val="28"/>
          <w:lang w:bidi="ar"/>
        </w:rPr>
        <w:t>标准起草组成立</w:t>
      </w:r>
    </w:p>
    <w:p w14:paraId="41A68218">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eastAsia="仿宋"/>
          <w:sz w:val="24"/>
        </w:rPr>
      </w:pPr>
      <w:r>
        <w:rPr>
          <w:rFonts w:eastAsia="仿宋"/>
          <w:sz w:val="24"/>
        </w:rPr>
        <w:t>在接到标准制定任务后，制标单位随即成立了标准</w:t>
      </w:r>
      <w:r>
        <w:rPr>
          <w:rFonts w:hint="eastAsia" w:eastAsia="仿宋"/>
          <w:sz w:val="24"/>
          <w:lang w:val="en-US" w:eastAsia="zh-CN"/>
        </w:rPr>
        <w:t>起草</w:t>
      </w:r>
      <w:r>
        <w:rPr>
          <w:rFonts w:eastAsia="仿宋"/>
          <w:sz w:val="24"/>
        </w:rPr>
        <w:t>组，</w:t>
      </w:r>
      <w:r>
        <w:rPr>
          <w:rFonts w:hint="eastAsia" w:eastAsia="仿宋"/>
          <w:sz w:val="24"/>
        </w:rPr>
        <w:t>乾佰熙（大连）生物科技有限公司</w:t>
      </w:r>
      <w:r>
        <w:rPr>
          <w:rFonts w:hint="eastAsia" w:eastAsia="仿宋"/>
          <w:sz w:val="24"/>
          <w:lang w:val="en-US" w:eastAsia="zh-CN"/>
        </w:rPr>
        <w:t>张德全总经理</w:t>
      </w:r>
      <w:r>
        <w:rPr>
          <w:rFonts w:eastAsia="仿宋"/>
          <w:sz w:val="24"/>
        </w:rPr>
        <w:t>负责整体工作，制定工作方案、工作计划、项目人员分工以及起草标准内容；</w:t>
      </w:r>
      <w:r>
        <w:rPr>
          <w:rFonts w:hint="eastAsia" w:eastAsia="仿宋"/>
          <w:sz w:val="24"/>
          <w:lang w:val="en-US" w:eastAsia="zh-CN"/>
        </w:rPr>
        <w:t>大连标准认证研究院有限公司王细凤部长</w:t>
      </w:r>
      <w:r>
        <w:rPr>
          <w:rFonts w:eastAsia="仿宋"/>
          <w:sz w:val="24"/>
        </w:rPr>
        <w:t>负责</w:t>
      </w:r>
      <w:r>
        <w:rPr>
          <w:rFonts w:hint="eastAsia" w:eastAsia="仿宋"/>
          <w:sz w:val="24"/>
          <w:lang w:val="en-US" w:eastAsia="zh-CN"/>
        </w:rPr>
        <w:t>标准立项申请，</w:t>
      </w:r>
      <w:r>
        <w:rPr>
          <w:rFonts w:eastAsia="仿宋"/>
          <w:sz w:val="24"/>
        </w:rPr>
        <w:t>关键点的验证工作，检索相关标准和文献，验证和修改标准草稿，以及征集专家意见。</w:t>
      </w:r>
    </w:p>
    <w:p w14:paraId="0F1ED9EB">
      <w:pPr>
        <w:adjustRightInd w:val="0"/>
        <w:snapToGrid w:val="0"/>
        <w:spacing w:line="360" w:lineRule="auto"/>
        <w:ind w:firstLine="562"/>
        <w:rPr>
          <w:rFonts w:hint="eastAsia" w:ascii="仿宋" w:hAnsi="仿宋" w:eastAsia="仿宋" w:cs="仿宋"/>
          <w:b/>
          <w:bCs/>
          <w:color w:val="000000"/>
          <w:kern w:val="0"/>
          <w:szCs w:val="28"/>
          <w:lang w:bidi="ar"/>
        </w:rPr>
      </w:pPr>
      <w:r>
        <w:rPr>
          <w:rFonts w:hint="eastAsia" w:ascii="仿宋" w:hAnsi="仿宋" w:eastAsia="仿宋" w:cs="仿宋"/>
          <w:b/>
          <w:szCs w:val="28"/>
        </w:rPr>
        <w:t>第二阶段：</w:t>
      </w:r>
      <w:r>
        <w:rPr>
          <w:rFonts w:hint="eastAsia" w:ascii="仿宋" w:hAnsi="仿宋" w:eastAsia="仿宋" w:cs="仿宋"/>
          <w:b/>
          <w:bCs/>
          <w:color w:val="000000"/>
          <w:kern w:val="0"/>
          <w:szCs w:val="28"/>
          <w:lang w:bidi="ar"/>
        </w:rPr>
        <w:t>前期预研及调研分析</w:t>
      </w:r>
    </w:p>
    <w:p w14:paraId="06009E3E">
      <w:pPr>
        <w:adjustRightInd w:val="0"/>
        <w:snapToGrid w:val="0"/>
        <w:spacing w:before="156" w:beforeLines="50" w:line="360" w:lineRule="auto"/>
        <w:ind w:firstLine="480"/>
        <w:rPr>
          <w:rFonts w:hint="default" w:eastAsia="仿宋"/>
          <w:sz w:val="24"/>
          <w:lang w:val="en-US" w:eastAsia="zh-CN"/>
        </w:rPr>
      </w:pPr>
      <w:r>
        <w:rPr>
          <w:rFonts w:hint="eastAsia" w:eastAsia="仿宋"/>
          <w:sz w:val="24"/>
        </w:rPr>
        <w:t>标准</w:t>
      </w:r>
      <w:r>
        <w:rPr>
          <w:rFonts w:hint="eastAsia" w:eastAsia="仿宋"/>
          <w:sz w:val="24"/>
          <w:lang w:val="en-US" w:eastAsia="zh-CN"/>
        </w:rPr>
        <w:t>起草</w:t>
      </w:r>
      <w:r>
        <w:rPr>
          <w:rFonts w:hint="eastAsia" w:eastAsia="仿宋"/>
          <w:sz w:val="24"/>
        </w:rPr>
        <w:t>组</w:t>
      </w:r>
      <w:r>
        <w:rPr>
          <w:rFonts w:eastAsia="仿宋"/>
          <w:sz w:val="24"/>
        </w:rPr>
        <w:t>对国内秸秆饲料化处理、蒸汽爆破处理生物质等方面文献进行收集整理</w:t>
      </w:r>
      <w:r>
        <w:rPr>
          <w:rFonts w:hint="eastAsia" w:eastAsia="仿宋"/>
          <w:sz w:val="24"/>
          <w:lang w:eastAsia="zh-CN"/>
        </w:rPr>
        <w:t>，</w:t>
      </w:r>
      <w:r>
        <w:rPr>
          <w:rFonts w:hint="eastAsia" w:eastAsia="仿宋"/>
          <w:sz w:val="24"/>
          <w:lang w:val="en-US" w:eastAsia="zh-CN"/>
        </w:rPr>
        <w:t>多次</w:t>
      </w:r>
      <w:r>
        <w:rPr>
          <w:rFonts w:hint="eastAsia" w:eastAsia="仿宋"/>
          <w:color w:val="0000FF"/>
          <w:sz w:val="24"/>
          <w:lang w:val="en-US" w:eastAsia="zh-CN"/>
        </w:rPr>
        <w:t>到黑龙江、吉林、沈阳</w:t>
      </w:r>
      <w:r>
        <w:rPr>
          <w:rFonts w:hint="eastAsia" w:eastAsia="仿宋"/>
          <w:sz w:val="24"/>
          <w:lang w:val="en-US" w:eastAsia="zh-CN"/>
        </w:rPr>
        <w:t>等造纸科研机构及生产企业进行了实地调研。</w:t>
      </w:r>
    </w:p>
    <w:p w14:paraId="0E60C975">
      <w:pPr>
        <w:widowControl/>
        <w:adjustRightInd w:val="0"/>
        <w:snapToGrid w:val="0"/>
        <w:spacing w:line="360" w:lineRule="auto"/>
        <w:ind w:firstLine="562"/>
        <w:rPr>
          <w:rFonts w:hint="eastAsia" w:ascii="仿宋" w:hAnsi="仿宋" w:eastAsia="仿宋" w:cs="仿宋"/>
          <w:b/>
          <w:bCs/>
          <w:color w:val="000000"/>
          <w:szCs w:val="22"/>
        </w:rPr>
      </w:pPr>
      <w:r>
        <w:rPr>
          <w:rFonts w:hint="eastAsia" w:ascii="仿宋" w:hAnsi="仿宋" w:eastAsia="仿宋" w:cs="仿宋"/>
          <w:b/>
          <w:bCs/>
          <w:color w:val="000000"/>
          <w:szCs w:val="22"/>
        </w:rPr>
        <w:t>第三阶段：标准起草</w:t>
      </w:r>
    </w:p>
    <w:p w14:paraId="31023403">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eastAsia="仿宋"/>
          <w:sz w:val="24"/>
        </w:rPr>
        <w:t>标准</w:t>
      </w:r>
      <w:r>
        <w:rPr>
          <w:rFonts w:hint="eastAsia" w:eastAsia="仿宋"/>
          <w:sz w:val="24"/>
          <w:lang w:val="en-US" w:eastAsia="zh-CN"/>
        </w:rPr>
        <w:t>起草</w:t>
      </w:r>
      <w:r>
        <w:rPr>
          <w:rFonts w:eastAsia="仿宋"/>
          <w:sz w:val="24"/>
        </w:rPr>
        <w:t>组对蒸汽爆破中原料加水比例、压力和保压时间三个参数进行优化。</w:t>
      </w:r>
      <w:r>
        <w:rPr>
          <w:rFonts w:hint="eastAsia" w:eastAsia="仿宋"/>
          <w:sz w:val="24"/>
        </w:rPr>
        <w:t>按照GB/T 1.1-2020《标准化工作导则 第1部分：标准化文件的结构和起草规则》的规定起草编写标准文本内容和编制说明内容，并组织开展</w:t>
      </w:r>
      <w:r>
        <w:rPr>
          <w:rFonts w:hint="eastAsia" w:eastAsia="仿宋"/>
          <w:sz w:val="24"/>
          <w:lang w:val="en-US" w:eastAsia="zh-CN"/>
        </w:rPr>
        <w:t>3</w:t>
      </w:r>
      <w:r>
        <w:rPr>
          <w:rFonts w:hint="eastAsia" w:eastAsia="仿宋"/>
          <w:sz w:val="24"/>
        </w:rPr>
        <w:t>次讨论会。</w:t>
      </w:r>
    </w:p>
    <w:p w14:paraId="0277A0BA">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hint="eastAsia" w:eastAsia="仿宋"/>
          <w:sz w:val="24"/>
        </w:rPr>
        <w:t>20</w:t>
      </w:r>
      <w:r>
        <w:rPr>
          <w:rFonts w:hint="eastAsia" w:eastAsia="仿宋"/>
          <w:sz w:val="24"/>
          <w:lang w:val="en-US" w:eastAsia="zh-CN"/>
        </w:rPr>
        <w:t>25</w:t>
      </w:r>
      <w:r>
        <w:rPr>
          <w:rFonts w:hint="eastAsia" w:eastAsia="仿宋"/>
          <w:sz w:val="24"/>
        </w:rPr>
        <w:t>年</w:t>
      </w:r>
      <w:r>
        <w:rPr>
          <w:rFonts w:hint="eastAsia" w:eastAsia="仿宋"/>
          <w:sz w:val="24"/>
          <w:lang w:val="en-US" w:eastAsia="zh-CN"/>
        </w:rPr>
        <w:t>10</w:t>
      </w:r>
      <w:r>
        <w:rPr>
          <w:rFonts w:hint="eastAsia" w:eastAsia="仿宋"/>
          <w:sz w:val="24"/>
        </w:rPr>
        <w:t>月15日，乾佰熙（大连）生物科技有限公司组织召开</w:t>
      </w:r>
      <w:r>
        <w:rPr>
          <w:rFonts w:hint="eastAsia" w:eastAsia="仿宋"/>
          <w:sz w:val="24"/>
          <w:lang w:val="en-US" w:eastAsia="zh-CN"/>
        </w:rPr>
        <w:t>内部</w:t>
      </w:r>
      <w:r>
        <w:rPr>
          <w:rFonts w:hint="eastAsia" w:eastAsia="仿宋"/>
          <w:sz w:val="24"/>
        </w:rPr>
        <w:t>研讨会，讨论了标准的框架、标准各个条款的关键环节和关键点，</w:t>
      </w:r>
      <w:r>
        <w:rPr>
          <w:rFonts w:hint="eastAsia" w:eastAsia="仿宋"/>
          <w:sz w:val="24"/>
          <w:lang w:val="en-US" w:eastAsia="zh-CN"/>
        </w:rPr>
        <w:t>标准起草</w:t>
      </w:r>
      <w:r>
        <w:rPr>
          <w:rFonts w:hint="eastAsia" w:eastAsia="仿宋"/>
          <w:sz w:val="24"/>
        </w:rPr>
        <w:t>组根据反馈意见对标准</w:t>
      </w:r>
      <w:r>
        <w:rPr>
          <w:rFonts w:hint="eastAsia" w:eastAsia="仿宋"/>
          <w:sz w:val="24"/>
          <w:lang w:val="en-US" w:eastAsia="zh-CN"/>
        </w:rPr>
        <w:t>工作组讨论</w:t>
      </w:r>
      <w:r>
        <w:rPr>
          <w:rFonts w:hint="eastAsia" w:eastAsia="仿宋"/>
          <w:sz w:val="24"/>
        </w:rPr>
        <w:t>稿进行了修改。</w:t>
      </w:r>
    </w:p>
    <w:p w14:paraId="265AA551">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hint="eastAsia" w:eastAsia="仿宋"/>
          <w:sz w:val="24"/>
        </w:rPr>
        <w:t>202</w:t>
      </w:r>
      <w:r>
        <w:rPr>
          <w:rFonts w:hint="eastAsia" w:eastAsia="仿宋"/>
          <w:sz w:val="24"/>
          <w:lang w:val="en-US" w:eastAsia="zh-CN"/>
        </w:rPr>
        <w:t>5</w:t>
      </w:r>
      <w:r>
        <w:rPr>
          <w:rFonts w:hint="eastAsia" w:eastAsia="仿宋"/>
          <w:sz w:val="24"/>
        </w:rPr>
        <w:t>年</w:t>
      </w:r>
      <w:r>
        <w:rPr>
          <w:rFonts w:hint="eastAsia" w:eastAsia="仿宋"/>
          <w:sz w:val="24"/>
          <w:lang w:val="en-US" w:eastAsia="zh-CN"/>
        </w:rPr>
        <w:t>12</w:t>
      </w:r>
      <w:r>
        <w:rPr>
          <w:rFonts w:hint="eastAsia" w:eastAsia="仿宋"/>
          <w:sz w:val="24"/>
        </w:rPr>
        <w:t>月</w:t>
      </w:r>
      <w:r>
        <w:rPr>
          <w:rFonts w:hint="eastAsia" w:eastAsia="仿宋"/>
          <w:sz w:val="24"/>
          <w:lang w:val="en-US" w:eastAsia="zh-CN"/>
        </w:rPr>
        <w:t>4</w:t>
      </w:r>
      <w:r>
        <w:rPr>
          <w:rFonts w:hint="eastAsia" w:eastAsia="仿宋"/>
          <w:sz w:val="24"/>
        </w:rPr>
        <w:t>日，乾佰熙（大连）生物科技有限公司召开线上讨论会，会议邀请了哈尔滨工业大学、大连大学、北京优解未来科技有限公司、中国一重设计院等单位相关专家对标准的文本框架、编制说明、征求意见及修改情况进行了讨论。</w:t>
      </w:r>
    </w:p>
    <w:p w14:paraId="33E333F6">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eastAsia="仿宋"/>
          <w:sz w:val="24"/>
        </w:rPr>
      </w:pPr>
      <w:r>
        <w:rPr>
          <w:rFonts w:hint="eastAsia" w:eastAsia="仿宋"/>
          <w:sz w:val="24"/>
        </w:rPr>
        <w:t>202</w:t>
      </w:r>
      <w:r>
        <w:rPr>
          <w:rFonts w:hint="eastAsia" w:eastAsia="仿宋"/>
          <w:sz w:val="24"/>
          <w:lang w:val="en-US" w:eastAsia="zh-CN"/>
        </w:rPr>
        <w:t>6</w:t>
      </w:r>
      <w:r>
        <w:rPr>
          <w:rFonts w:hint="eastAsia" w:eastAsia="仿宋"/>
          <w:sz w:val="24"/>
        </w:rPr>
        <w:t>年</w:t>
      </w:r>
      <w:r>
        <w:rPr>
          <w:rFonts w:hint="eastAsia" w:eastAsia="仿宋"/>
          <w:sz w:val="24"/>
          <w:lang w:val="en-US" w:eastAsia="zh-CN"/>
        </w:rPr>
        <w:t>2</w:t>
      </w:r>
      <w:r>
        <w:rPr>
          <w:rFonts w:hint="eastAsia" w:eastAsia="仿宋"/>
          <w:sz w:val="24"/>
        </w:rPr>
        <w:t>月10日，乾佰熙（大连）生物科技有限公司组织召开内部研讨会，</w:t>
      </w:r>
      <w:r>
        <w:rPr>
          <w:rFonts w:hint="eastAsia" w:eastAsia="仿宋"/>
          <w:sz w:val="24"/>
          <w:lang w:val="en-US" w:eastAsia="zh-CN"/>
        </w:rPr>
        <w:t>标准起草组</w:t>
      </w:r>
      <w:r>
        <w:rPr>
          <w:rFonts w:hint="eastAsia" w:eastAsia="仿宋"/>
          <w:sz w:val="24"/>
        </w:rPr>
        <w:t>对标准文本进行了全面、细致的修改和完善，讨论确定了标准文本中关键环节和关键点的可靠性、可操作性及依据，补充完善编制说明</w:t>
      </w:r>
      <w:r>
        <w:rPr>
          <w:rFonts w:hint="eastAsia" w:eastAsia="仿宋"/>
          <w:sz w:val="24"/>
          <w:lang w:eastAsia="zh-CN"/>
        </w:rPr>
        <w:t>，</w:t>
      </w:r>
      <w:r>
        <w:rPr>
          <w:rFonts w:hint="eastAsia" w:eastAsia="仿宋"/>
          <w:sz w:val="24"/>
        </w:rPr>
        <w:t xml:space="preserve">形成《秸秆蒸汽爆破饲料生产工艺技术规范》团体标准征求意见稿。 </w:t>
      </w:r>
    </w:p>
    <w:p w14:paraId="0B9B2C9F">
      <w:pPr>
        <w:adjustRightInd w:val="0"/>
        <w:snapToGrid w:val="0"/>
        <w:spacing w:before="156" w:beforeLines="50" w:line="360" w:lineRule="auto"/>
        <w:ind w:firstLine="0" w:firstLineChars="0"/>
        <w:rPr>
          <w:rFonts w:eastAsia="黑体"/>
          <w:b/>
          <w:sz w:val="32"/>
          <w:szCs w:val="32"/>
        </w:rPr>
      </w:pPr>
      <w:r>
        <w:rPr>
          <w:rFonts w:eastAsia="黑体"/>
          <w:b/>
          <w:sz w:val="32"/>
          <w:szCs w:val="32"/>
        </w:rPr>
        <w:t>三、 标准编制原则和主要技术内容确定的依据</w:t>
      </w:r>
    </w:p>
    <w:p w14:paraId="6B9FA948">
      <w:pPr>
        <w:adjustRightInd w:val="0"/>
        <w:snapToGrid w:val="0"/>
        <w:spacing w:before="156" w:beforeLines="50" w:line="360" w:lineRule="auto"/>
        <w:ind w:firstLine="0" w:firstLineChars="0"/>
        <w:rPr>
          <w:rFonts w:eastAsia="黑体"/>
          <w:b/>
          <w:szCs w:val="28"/>
        </w:rPr>
      </w:pPr>
      <w:r>
        <w:rPr>
          <w:rFonts w:eastAsia="黑体"/>
          <w:b/>
          <w:szCs w:val="28"/>
        </w:rPr>
        <w:t>（一）标准制定过程遵循的基本原则</w:t>
      </w:r>
    </w:p>
    <w:p w14:paraId="50B1D0F9">
      <w:pPr>
        <w:adjustRightInd w:val="0"/>
        <w:snapToGrid w:val="0"/>
        <w:spacing w:before="156" w:beforeLines="50" w:line="360" w:lineRule="auto"/>
        <w:ind w:firstLine="480"/>
        <w:rPr>
          <w:rFonts w:eastAsia="仿宋"/>
          <w:sz w:val="24"/>
        </w:rPr>
      </w:pPr>
      <w:r>
        <w:rPr>
          <w:rFonts w:eastAsia="仿宋"/>
          <w:sz w:val="24"/>
        </w:rPr>
        <w:t>本文件按照GB/T 1.1—2020《标准化工作导则 第1部分：标准化文件的结构和起草规则》的规定起草，同时遵循以下原则：</w:t>
      </w:r>
    </w:p>
    <w:p w14:paraId="4ECD3CE9">
      <w:pPr>
        <w:adjustRightInd w:val="0"/>
        <w:snapToGrid w:val="0"/>
        <w:spacing w:before="156" w:beforeLines="50" w:line="360" w:lineRule="auto"/>
        <w:ind w:firstLine="480"/>
        <w:rPr>
          <w:rFonts w:hint="eastAsia" w:eastAsia="仿宋"/>
          <w:sz w:val="24"/>
          <w:lang w:val="en-US" w:eastAsia="zh-CN"/>
        </w:rPr>
      </w:pPr>
      <w:r>
        <w:rPr>
          <w:rFonts w:eastAsia="仿宋"/>
          <w:sz w:val="24"/>
        </w:rPr>
        <w:t>（1）</w:t>
      </w:r>
      <w:r>
        <w:rPr>
          <w:rFonts w:hint="eastAsia" w:eastAsia="仿宋"/>
          <w:sz w:val="24"/>
          <w:lang w:val="en-US" w:eastAsia="zh-CN"/>
        </w:rPr>
        <w:t xml:space="preserve">科学性：通过深入研究秸秆饲料加工企业的现状及发展需求，遵循科学性的标准编制要求，运用科学严谨的方法建立了本标准。从科学客观的角度出发，充分考虑企业、消费者、监管者的各方需求，确保标准的合理性和适用性。 </w:t>
      </w:r>
    </w:p>
    <w:p w14:paraId="0068C474">
      <w:pPr>
        <w:adjustRightInd w:val="0"/>
        <w:snapToGrid w:val="0"/>
        <w:spacing w:before="156" w:beforeLines="50" w:line="360" w:lineRule="auto"/>
        <w:ind w:firstLine="480"/>
        <w:rPr>
          <w:rFonts w:eastAsia="仿宋"/>
          <w:sz w:val="24"/>
        </w:rPr>
      </w:pPr>
      <w:r>
        <w:rPr>
          <w:rFonts w:eastAsia="仿宋"/>
          <w:sz w:val="24"/>
        </w:rPr>
        <w:t>（2）先进性：对本标准中有关内容的确定，力求反映本研究领域的国内外先进技术和经验，使标准中所规定的技术内容有利于秸秆蒸汽爆破</w:t>
      </w:r>
      <w:r>
        <w:rPr>
          <w:rFonts w:hint="eastAsia" w:eastAsia="仿宋"/>
          <w:sz w:val="24"/>
          <w:lang w:val="en-US" w:eastAsia="zh-CN"/>
        </w:rPr>
        <w:t>制板生产工艺</w:t>
      </w:r>
      <w:r>
        <w:rPr>
          <w:rFonts w:eastAsia="仿宋"/>
          <w:sz w:val="24"/>
        </w:rPr>
        <w:t>技术规范。</w:t>
      </w:r>
    </w:p>
    <w:p w14:paraId="211B62E4">
      <w:pPr>
        <w:adjustRightInd w:val="0"/>
        <w:snapToGrid w:val="0"/>
        <w:spacing w:before="156" w:beforeLines="50" w:line="360" w:lineRule="auto"/>
        <w:ind w:firstLine="480"/>
        <w:rPr>
          <w:rFonts w:eastAsia="仿宋"/>
          <w:sz w:val="24"/>
        </w:rPr>
      </w:pPr>
      <w:r>
        <w:rPr>
          <w:rFonts w:eastAsia="仿宋"/>
          <w:sz w:val="24"/>
        </w:rPr>
        <w:t>（3）规范性：在本标准征求意见稿的编制过程中力求做到技术内容的叙述正确无误，文字表达准确和简明易懂，标准的构成严谨合理，符合科学性；内容编排、层次划分等符合逻辑。</w:t>
      </w:r>
    </w:p>
    <w:p w14:paraId="6A1A7746">
      <w:pPr>
        <w:adjustRightInd w:val="0"/>
        <w:snapToGrid w:val="0"/>
        <w:spacing w:before="156" w:beforeLines="50" w:line="360" w:lineRule="auto"/>
        <w:ind w:firstLine="480"/>
        <w:rPr>
          <w:rFonts w:eastAsia="仿宋"/>
          <w:sz w:val="24"/>
        </w:rPr>
      </w:pPr>
      <w:r>
        <w:rPr>
          <w:rFonts w:eastAsia="仿宋"/>
          <w:sz w:val="24"/>
        </w:rPr>
        <w:t>（4）可操作性：可操作性是制定标准的必备因素，因此，在制定标准的过程中，始终把经济实用和可操作性作为重要的依据，以便在执行中容易操作。</w:t>
      </w:r>
    </w:p>
    <w:p w14:paraId="77878C98">
      <w:pPr>
        <w:adjustRightInd w:val="0"/>
        <w:snapToGrid w:val="0"/>
        <w:spacing w:before="156" w:beforeLines="50" w:line="360" w:lineRule="auto"/>
        <w:ind w:firstLine="480"/>
        <w:rPr>
          <w:rFonts w:eastAsia="仿宋"/>
          <w:sz w:val="24"/>
        </w:rPr>
      </w:pPr>
      <w:r>
        <w:rPr>
          <w:rFonts w:eastAsia="仿宋"/>
          <w:sz w:val="24"/>
        </w:rPr>
        <w:t>以科学技术和实验数据为依据，参考国内外标准，结合我国相关饲料产品生产的实际情况，以科学为基本原则，制定本标准。以“提高秸秆利用率”为出发点，重点从蒸汽爆破处理技术参数要求等方面，规范秸秆蒸汽爆破</w:t>
      </w:r>
      <w:r>
        <w:rPr>
          <w:rFonts w:hint="eastAsia" w:eastAsia="仿宋"/>
          <w:sz w:val="24"/>
          <w:lang w:val="en-US" w:eastAsia="zh-CN"/>
        </w:rPr>
        <w:t>制板</w:t>
      </w:r>
      <w:r>
        <w:rPr>
          <w:rFonts w:eastAsia="仿宋"/>
          <w:sz w:val="24"/>
        </w:rPr>
        <w:t>生产，不仅要满足生产经营的需求，还应确保该标准规范的各项指标都能最大程度地满足行业需求。</w:t>
      </w:r>
    </w:p>
    <w:p w14:paraId="1CA0A7C2">
      <w:pPr>
        <w:adjustRightInd w:val="0"/>
        <w:snapToGrid w:val="0"/>
        <w:spacing w:before="156" w:beforeLines="50" w:line="360" w:lineRule="auto"/>
        <w:ind w:firstLine="0" w:firstLineChars="0"/>
        <w:rPr>
          <w:rFonts w:eastAsia="黑体"/>
          <w:b/>
          <w:szCs w:val="28"/>
        </w:rPr>
      </w:pPr>
      <w:r>
        <w:rPr>
          <w:rFonts w:eastAsia="黑体"/>
          <w:b/>
          <w:szCs w:val="28"/>
        </w:rPr>
        <w:t>（二）主要内容确定的依据</w:t>
      </w:r>
    </w:p>
    <w:p w14:paraId="7D5D50D7">
      <w:pPr>
        <w:adjustRightInd w:val="0"/>
        <w:snapToGrid w:val="0"/>
        <w:spacing w:before="156" w:beforeLines="50" w:line="360" w:lineRule="auto"/>
        <w:ind w:firstLine="480"/>
        <w:rPr>
          <w:rFonts w:eastAsia="仿宋"/>
          <w:color w:val="auto"/>
          <w:sz w:val="24"/>
        </w:rPr>
      </w:pPr>
      <w:r>
        <w:rPr>
          <w:rFonts w:eastAsia="仿宋"/>
          <w:color w:val="auto"/>
          <w:sz w:val="24"/>
        </w:rPr>
        <w:t>本标准文本共分为</w:t>
      </w:r>
      <w:r>
        <w:rPr>
          <w:rFonts w:hint="eastAsia" w:eastAsia="仿宋"/>
          <w:color w:val="auto"/>
          <w:sz w:val="24"/>
          <w:lang w:val="en-US" w:eastAsia="zh-CN"/>
        </w:rPr>
        <w:t>十章</w:t>
      </w:r>
      <w:r>
        <w:rPr>
          <w:rFonts w:eastAsia="仿宋"/>
          <w:color w:val="auto"/>
          <w:sz w:val="24"/>
        </w:rPr>
        <w:t>，分别为第一章范围、第二章规范性引用文件、第三章术语和定义、第四章</w:t>
      </w:r>
      <w:r>
        <w:rPr>
          <w:rFonts w:hint="eastAsia" w:eastAsia="仿宋"/>
          <w:color w:val="auto"/>
          <w:sz w:val="24"/>
          <w:lang w:val="en-US" w:eastAsia="zh-CN"/>
        </w:rPr>
        <w:t>设备设施要求</w:t>
      </w:r>
      <w:r>
        <w:rPr>
          <w:rFonts w:eastAsia="仿宋"/>
          <w:color w:val="auto"/>
          <w:sz w:val="24"/>
        </w:rPr>
        <w:t>、第五章</w:t>
      </w:r>
      <w:r>
        <w:rPr>
          <w:rFonts w:hint="eastAsia" w:eastAsia="仿宋"/>
          <w:color w:val="auto"/>
          <w:sz w:val="24"/>
          <w:lang w:val="en-US" w:eastAsia="zh-CN"/>
        </w:rPr>
        <w:t>环境卫生要求、第六章生产工艺流程、第七章生产工艺要求、第八章证实方法</w:t>
      </w:r>
      <w:r>
        <w:rPr>
          <w:rFonts w:eastAsia="仿宋"/>
          <w:color w:val="auto"/>
          <w:sz w:val="24"/>
        </w:rPr>
        <w:t>。</w:t>
      </w:r>
    </w:p>
    <w:p w14:paraId="2311D646">
      <w:pPr>
        <w:adjustRightInd w:val="0"/>
        <w:snapToGrid w:val="0"/>
        <w:spacing w:before="156" w:beforeLines="50" w:line="360" w:lineRule="auto"/>
        <w:ind w:firstLine="480"/>
        <w:rPr>
          <w:rFonts w:hint="eastAsia" w:eastAsia="仿宋"/>
          <w:sz w:val="24"/>
          <w:lang w:eastAsia="zh-CN"/>
        </w:rPr>
      </w:pPr>
      <w:r>
        <w:rPr>
          <w:rFonts w:hint="eastAsia" w:eastAsia="仿宋"/>
          <w:sz w:val="24"/>
        </w:rPr>
        <w:t>本工艺首先对生物质原料进行氧化预处理，再通过高压气爆，使原料细胞壁破壁，纤维蓬松、分离，木质素降解。在专用设备及氧化剂的作用下，使原料达到使用白度，最终通过空气载体取代水，利用负压风选，实现干法制浆</w:t>
      </w:r>
      <w:r>
        <w:rPr>
          <w:rFonts w:hint="eastAsia" w:eastAsia="仿宋"/>
          <w:sz w:val="24"/>
          <w:lang w:eastAsia="zh-CN"/>
        </w:rPr>
        <w:t>。</w:t>
      </w:r>
    </w:p>
    <w:p w14:paraId="00744C4D">
      <w:pPr>
        <w:adjustRightInd w:val="0"/>
        <w:snapToGrid w:val="0"/>
        <w:spacing w:before="156" w:beforeLines="50" w:line="360" w:lineRule="auto"/>
        <w:ind w:firstLine="480"/>
        <w:rPr>
          <w:rFonts w:hint="eastAsia" w:eastAsia="仿宋"/>
          <w:sz w:val="24"/>
          <w:lang w:val="zh-CN"/>
        </w:rPr>
      </w:pPr>
      <w:r>
        <w:rPr>
          <w:rFonts w:hint="eastAsia" w:eastAsia="仿宋"/>
          <w:sz w:val="24"/>
        </w:rPr>
        <w:t>1、生物质原料氧化预处理，使原料预先软化，细胞壁膨润，木质素降解。</w:t>
      </w:r>
    </w:p>
    <w:p w14:paraId="6DEF4010">
      <w:pPr>
        <w:adjustRightInd w:val="0"/>
        <w:snapToGrid w:val="0"/>
        <w:spacing w:before="156" w:beforeLines="50" w:line="360" w:lineRule="auto"/>
        <w:ind w:firstLine="480"/>
        <w:rPr>
          <w:rFonts w:hint="eastAsia" w:eastAsia="仿宋"/>
          <w:sz w:val="24"/>
        </w:rPr>
      </w:pPr>
      <w:r>
        <w:rPr>
          <w:rFonts w:hint="eastAsia" w:eastAsia="仿宋"/>
          <w:sz w:val="24"/>
        </w:rPr>
        <w:t>2、采用高压气爆破壁处理工艺，使原料细胞壁破裂、纤维蓬松、分离、木质素降解，从而最大限度的减少了助剂的使用甚至不用。</w:t>
      </w:r>
    </w:p>
    <w:p w14:paraId="4FC4591C">
      <w:pPr>
        <w:adjustRightInd w:val="0"/>
        <w:snapToGrid w:val="0"/>
        <w:spacing w:before="156" w:beforeLines="50" w:line="360" w:lineRule="auto"/>
        <w:ind w:firstLine="480"/>
        <w:rPr>
          <w:rFonts w:hint="eastAsia" w:eastAsia="仿宋"/>
          <w:sz w:val="24"/>
        </w:rPr>
      </w:pPr>
      <w:r>
        <w:rPr>
          <w:rFonts w:eastAsia="仿宋"/>
          <w:sz w:val="24"/>
        </w:rPr>
        <w:drawing>
          <wp:anchor distT="0" distB="0" distL="114300" distR="114300" simplePos="0" relativeHeight="251662336" behindDoc="1" locked="0" layoutInCell="1" allowOverlap="1">
            <wp:simplePos x="0" y="0"/>
            <wp:positionH relativeFrom="column">
              <wp:posOffset>274955</wp:posOffset>
            </wp:positionH>
            <wp:positionV relativeFrom="paragraph">
              <wp:posOffset>142875</wp:posOffset>
            </wp:positionV>
            <wp:extent cx="5257800" cy="1824355"/>
            <wp:effectExtent l="0" t="0" r="0" b="4445"/>
            <wp:wrapTight wrapText="bothSides">
              <wp:wrapPolygon>
                <wp:start x="0" y="0"/>
                <wp:lineTo x="0" y="21427"/>
                <wp:lineTo x="21522" y="21427"/>
                <wp:lineTo x="21522" y="0"/>
                <wp:lineTo x="0" y="0"/>
              </wp:wrapPolygon>
            </wp:wrapTight>
            <wp:docPr id="4" name="Picture 2" descr="截图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截图11"/>
                    <pic:cNvPicPr>
                      <a:picLocks noChangeAspect="1"/>
                    </pic:cNvPicPr>
                  </pic:nvPicPr>
                  <pic:blipFill>
                    <a:blip r:embed="rId12"/>
                    <a:stretch>
                      <a:fillRect/>
                    </a:stretch>
                  </pic:blipFill>
                  <pic:spPr>
                    <a:xfrm>
                      <a:off x="0" y="0"/>
                      <a:ext cx="5257800" cy="1824355"/>
                    </a:xfrm>
                    <a:prstGeom prst="rect">
                      <a:avLst/>
                    </a:prstGeom>
                    <a:noFill/>
                    <a:ln>
                      <a:noFill/>
                    </a:ln>
                  </pic:spPr>
                </pic:pic>
              </a:graphicData>
            </a:graphic>
          </wp:anchor>
        </w:drawing>
      </w:r>
    </w:p>
    <w:p w14:paraId="5A68FE2F">
      <w:pPr>
        <w:adjustRightInd w:val="0"/>
        <w:snapToGrid w:val="0"/>
        <w:spacing w:before="156" w:beforeLines="50" w:line="360" w:lineRule="auto"/>
        <w:ind w:firstLine="480"/>
        <w:rPr>
          <w:rFonts w:hint="eastAsia" w:eastAsia="仿宋"/>
          <w:sz w:val="24"/>
        </w:rPr>
      </w:pPr>
      <w:r>
        <w:rPr>
          <w:rFonts w:hint="eastAsia" w:eastAsia="仿宋"/>
          <w:sz w:val="24"/>
        </w:rPr>
        <w:t>3、利用专用设备和独特的生产工艺，在生产流程中实现漂白。</w:t>
      </w:r>
    </w:p>
    <w:p w14:paraId="7007AD2D">
      <w:pPr>
        <w:adjustRightInd w:val="0"/>
        <w:snapToGrid w:val="0"/>
        <w:spacing w:before="156" w:beforeLines="50" w:line="360" w:lineRule="auto"/>
        <w:ind w:firstLine="480"/>
        <w:rPr>
          <w:rFonts w:hint="eastAsia" w:eastAsia="仿宋"/>
          <w:sz w:val="24"/>
        </w:rPr>
      </w:pPr>
      <w:r>
        <w:rPr>
          <w:rFonts w:hint="eastAsia" w:eastAsia="仿宋"/>
          <w:sz w:val="24"/>
        </w:rPr>
        <w:t>4、先进的风压式疏解烘干设备有效的脱除原料中的水分，不损伤纤维长度，含水率控制在20%以内。</w:t>
      </w:r>
    </w:p>
    <w:p w14:paraId="168E3C96">
      <w:pPr>
        <w:adjustRightInd w:val="0"/>
        <w:snapToGrid w:val="0"/>
        <w:spacing w:before="156" w:beforeLines="50" w:line="360" w:lineRule="auto"/>
        <w:ind w:firstLine="480"/>
        <w:rPr>
          <w:rFonts w:hint="eastAsia" w:eastAsia="仿宋"/>
          <w:sz w:val="24"/>
        </w:rPr>
      </w:pPr>
      <w:r>
        <w:rPr>
          <w:rFonts w:hint="eastAsia" w:eastAsia="仿宋"/>
          <w:sz w:val="24"/>
        </w:rPr>
        <w:t>5、负压风选工艺完全保证了所选产品的合格率 。通过该设备的应用可完全除去粉末和粗梗纤维束，不损伤纤维并保留纤维长度，提高纤维的使用率。</w:t>
      </w:r>
    </w:p>
    <w:p w14:paraId="055B19A2">
      <w:pPr>
        <w:adjustRightInd w:val="0"/>
        <w:snapToGrid w:val="0"/>
        <w:spacing w:before="156" w:beforeLines="50" w:line="360" w:lineRule="auto"/>
        <w:ind w:firstLine="480"/>
        <w:rPr>
          <w:rFonts w:hint="eastAsia" w:eastAsia="仿宋"/>
          <w:sz w:val="24"/>
        </w:rPr>
      </w:pPr>
      <w:r>
        <w:rPr>
          <w:rFonts w:eastAsia="仿宋"/>
          <w:sz w:val="24"/>
        </w:rPr>
        <w:drawing>
          <wp:anchor distT="0" distB="0" distL="114300" distR="114300" simplePos="0" relativeHeight="251661312" behindDoc="0" locked="0" layoutInCell="1" allowOverlap="1">
            <wp:simplePos x="0" y="0"/>
            <wp:positionH relativeFrom="column">
              <wp:posOffset>638810</wp:posOffset>
            </wp:positionH>
            <wp:positionV relativeFrom="paragraph">
              <wp:posOffset>92710</wp:posOffset>
            </wp:positionV>
            <wp:extent cx="4818380" cy="1958340"/>
            <wp:effectExtent l="0" t="0" r="1270" b="3810"/>
            <wp:wrapNone/>
            <wp:docPr id="2" name="图片 5" descr="截图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截图25.jpg"/>
                    <pic:cNvPicPr>
                      <a:picLocks noChangeAspect="1"/>
                    </pic:cNvPicPr>
                  </pic:nvPicPr>
                  <pic:blipFill>
                    <a:blip r:embed="rId13"/>
                    <a:stretch>
                      <a:fillRect/>
                    </a:stretch>
                  </pic:blipFill>
                  <pic:spPr>
                    <a:xfrm>
                      <a:off x="0" y="0"/>
                      <a:ext cx="4818380" cy="1958340"/>
                    </a:xfrm>
                    <a:prstGeom prst="rect">
                      <a:avLst/>
                    </a:prstGeom>
                    <a:noFill/>
                    <a:ln>
                      <a:noFill/>
                    </a:ln>
                  </pic:spPr>
                </pic:pic>
              </a:graphicData>
            </a:graphic>
          </wp:anchor>
        </w:drawing>
      </w:r>
    </w:p>
    <w:p w14:paraId="5E71F76F">
      <w:pPr>
        <w:adjustRightInd w:val="0"/>
        <w:snapToGrid w:val="0"/>
        <w:spacing w:before="156" w:beforeLines="50" w:line="360" w:lineRule="auto"/>
        <w:ind w:firstLine="480"/>
        <w:rPr>
          <w:rFonts w:hint="eastAsia" w:eastAsia="仿宋"/>
          <w:sz w:val="24"/>
        </w:rPr>
      </w:pPr>
    </w:p>
    <w:p w14:paraId="580EEA1D">
      <w:pPr>
        <w:adjustRightInd w:val="0"/>
        <w:snapToGrid w:val="0"/>
        <w:spacing w:before="156" w:beforeLines="50" w:line="360" w:lineRule="auto"/>
        <w:ind w:firstLine="480"/>
        <w:rPr>
          <w:rFonts w:hint="eastAsia" w:eastAsia="仿宋"/>
          <w:sz w:val="24"/>
        </w:rPr>
      </w:pPr>
    </w:p>
    <w:p w14:paraId="7325276F">
      <w:pPr>
        <w:adjustRightInd w:val="0"/>
        <w:snapToGrid w:val="0"/>
        <w:spacing w:before="156" w:beforeLines="50" w:line="360" w:lineRule="auto"/>
        <w:ind w:firstLine="480"/>
        <w:rPr>
          <w:rFonts w:hint="eastAsia" w:eastAsia="仿宋"/>
          <w:sz w:val="24"/>
        </w:rPr>
      </w:pPr>
    </w:p>
    <w:p w14:paraId="61AF3DA3">
      <w:pPr>
        <w:adjustRightInd w:val="0"/>
        <w:snapToGrid w:val="0"/>
        <w:spacing w:before="156" w:beforeLines="50" w:line="360" w:lineRule="auto"/>
        <w:ind w:firstLine="480"/>
        <w:rPr>
          <w:rFonts w:hint="eastAsia" w:eastAsia="仿宋"/>
          <w:sz w:val="24"/>
        </w:rPr>
      </w:pPr>
    </w:p>
    <w:p w14:paraId="1F060DDF">
      <w:pPr>
        <w:adjustRightInd w:val="0"/>
        <w:snapToGrid w:val="0"/>
        <w:spacing w:before="156" w:beforeLines="50" w:line="360" w:lineRule="auto"/>
        <w:ind w:firstLine="480"/>
        <w:rPr>
          <w:rFonts w:hint="eastAsia" w:eastAsia="仿宋"/>
          <w:sz w:val="24"/>
        </w:rPr>
      </w:pPr>
    </w:p>
    <w:p w14:paraId="1FE66E5E">
      <w:pPr>
        <w:adjustRightInd w:val="0"/>
        <w:snapToGrid w:val="0"/>
        <w:spacing w:before="156" w:beforeLines="50" w:line="360" w:lineRule="auto"/>
        <w:ind w:firstLine="480"/>
        <w:rPr>
          <w:rFonts w:hint="eastAsia" w:eastAsia="仿宋"/>
          <w:sz w:val="24"/>
        </w:rPr>
      </w:pPr>
      <w:bookmarkStart w:id="0" w:name="_GoBack"/>
      <w:bookmarkEnd w:id="0"/>
      <w:r>
        <w:rPr>
          <w:rFonts w:hint="eastAsia" w:eastAsia="仿宋"/>
          <w:sz w:val="24"/>
        </w:rPr>
        <w:t>通过上述工艺生产的纸浆，不再需要漂洗、分离，可直接抄纸。</w:t>
      </w:r>
    </w:p>
    <w:p w14:paraId="17E2A5FE">
      <w:pPr>
        <w:adjustRightInd w:val="0"/>
        <w:snapToGrid w:val="0"/>
        <w:spacing w:before="156" w:beforeLines="50" w:line="360" w:lineRule="auto"/>
        <w:ind w:firstLine="480"/>
        <w:rPr>
          <w:rFonts w:hint="eastAsia" w:eastAsia="仿宋"/>
          <w:sz w:val="24"/>
        </w:rPr>
      </w:pPr>
      <w:r>
        <w:rPr>
          <w:rFonts w:hint="eastAsia" w:eastAsia="仿宋"/>
          <w:sz w:val="24"/>
        </w:rPr>
        <w:t>无剪切搓丝技术原理</w:t>
      </w:r>
    </w:p>
    <w:p w14:paraId="3DDF3C74">
      <w:pPr>
        <w:adjustRightInd w:val="0"/>
        <w:snapToGrid w:val="0"/>
        <w:spacing w:before="156" w:beforeLines="50" w:line="360" w:lineRule="auto"/>
        <w:ind w:firstLine="480"/>
        <w:rPr>
          <w:rFonts w:hint="eastAsia" w:eastAsia="仿宋"/>
          <w:sz w:val="24"/>
        </w:rPr>
      </w:pPr>
      <w:r>
        <w:rPr>
          <w:rFonts w:hint="eastAsia" w:eastAsia="仿宋"/>
          <w:sz w:val="24"/>
        </w:rPr>
        <w:t>1、原料通过在高压气爆缸内，在一定压力和温度控制下的氧化反应，充分降解木质素，半纤维素，达到初期压力漂白的目的。</w:t>
      </w:r>
    </w:p>
    <w:p w14:paraId="05A97F34">
      <w:pPr>
        <w:adjustRightInd w:val="0"/>
        <w:snapToGrid w:val="0"/>
        <w:spacing w:before="156" w:beforeLines="50" w:line="360" w:lineRule="auto"/>
        <w:ind w:firstLine="480"/>
        <w:rPr>
          <w:rFonts w:hint="eastAsia" w:eastAsia="仿宋"/>
          <w:sz w:val="24"/>
        </w:rPr>
      </w:pPr>
      <w:r>
        <w:rPr>
          <w:rFonts w:hint="eastAsia" w:eastAsia="仿宋"/>
          <w:sz w:val="24"/>
        </w:rPr>
        <w:t>2、使汽体分子能量瞬间集中渗透到植物质中；</w:t>
      </w:r>
    </w:p>
    <w:p w14:paraId="1C981984">
      <w:pPr>
        <w:adjustRightInd w:val="0"/>
        <w:snapToGrid w:val="0"/>
        <w:spacing w:before="156" w:beforeLines="50" w:line="360" w:lineRule="auto"/>
        <w:ind w:firstLine="480"/>
        <w:rPr>
          <w:rFonts w:hint="eastAsia" w:eastAsia="仿宋"/>
          <w:sz w:val="24"/>
        </w:rPr>
      </w:pPr>
      <w:r>
        <w:rPr>
          <w:rFonts w:hint="eastAsia" w:eastAsia="仿宋"/>
          <w:sz w:val="24"/>
        </w:rPr>
        <w:t>3、使植物质原料的可溶性多聚糖分离出来；</w:t>
      </w:r>
    </w:p>
    <w:p w14:paraId="5EA96D84">
      <w:pPr>
        <w:adjustRightInd w:val="0"/>
        <w:snapToGrid w:val="0"/>
        <w:spacing w:before="156" w:beforeLines="50" w:line="360" w:lineRule="auto"/>
        <w:ind w:firstLine="480"/>
        <w:rPr>
          <w:rFonts w:hint="eastAsia" w:eastAsia="仿宋"/>
          <w:sz w:val="24"/>
        </w:rPr>
      </w:pPr>
      <w:r>
        <w:rPr>
          <w:rFonts w:hint="eastAsia" w:eastAsia="仿宋"/>
          <w:sz w:val="24"/>
        </w:rPr>
        <w:t>4、使半纤维素和木质素组分的官能团从晶格结构里裸露出来；</w:t>
      </w:r>
    </w:p>
    <w:p w14:paraId="36707EC4">
      <w:pPr>
        <w:adjustRightInd w:val="0"/>
        <w:snapToGrid w:val="0"/>
        <w:spacing w:before="156" w:beforeLines="50" w:line="360" w:lineRule="auto"/>
        <w:ind w:firstLine="480"/>
        <w:rPr>
          <w:rFonts w:hint="eastAsia" w:eastAsia="仿宋"/>
          <w:sz w:val="24"/>
        </w:rPr>
      </w:pPr>
      <w:r>
        <w:rPr>
          <w:rFonts w:hint="eastAsia" w:eastAsia="仿宋"/>
          <w:sz w:val="24"/>
        </w:rPr>
        <w:t>分子量分布图</w:t>
      </w:r>
    </w:p>
    <w:p w14:paraId="7B5AF3F8">
      <w:pPr>
        <w:adjustRightInd w:val="0"/>
        <w:snapToGrid w:val="0"/>
        <w:spacing w:before="156" w:beforeLines="50" w:line="360" w:lineRule="auto"/>
        <w:ind w:firstLine="480"/>
        <w:rPr>
          <w:rFonts w:hint="eastAsia" w:eastAsia="仿宋"/>
          <w:sz w:val="24"/>
        </w:rPr>
      </w:pPr>
      <w:r>
        <w:rPr>
          <w:rFonts w:hint="eastAsia" w:eastAsia="仿宋"/>
          <w:sz w:val="24"/>
        </w:rPr>
        <w:t>分子骤变处理前，非纤维素组分的分子量及分布：</w:t>
      </w:r>
    </w:p>
    <w:p w14:paraId="5A719F7E">
      <w:pPr>
        <w:adjustRightInd w:val="0"/>
        <w:snapToGrid w:val="0"/>
        <w:spacing w:before="156" w:beforeLines="50" w:line="360" w:lineRule="auto"/>
        <w:ind w:firstLine="480"/>
        <w:rPr>
          <w:rFonts w:hint="eastAsia" w:eastAsia="仿宋"/>
          <w:sz w:val="24"/>
        </w:rPr>
      </w:pPr>
      <w:r>
        <w:rPr>
          <w:rFonts w:eastAsia="仿宋"/>
          <w:sz w:val="24"/>
        </w:rPr>
        <w:drawing>
          <wp:anchor distT="0" distB="0" distL="114300" distR="114300" simplePos="0" relativeHeight="251660288" behindDoc="0" locked="0" layoutInCell="1" allowOverlap="1">
            <wp:simplePos x="0" y="0"/>
            <wp:positionH relativeFrom="column">
              <wp:posOffset>791210</wp:posOffset>
            </wp:positionH>
            <wp:positionV relativeFrom="paragraph">
              <wp:posOffset>83820</wp:posOffset>
            </wp:positionV>
            <wp:extent cx="4277360" cy="2293620"/>
            <wp:effectExtent l="0" t="0" r="8890" b="11430"/>
            <wp:wrapNone/>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rcRect l="2124" b="1945"/>
                    <a:stretch>
                      <a:fillRect/>
                    </a:stretch>
                  </pic:blipFill>
                  <pic:spPr>
                    <a:xfrm>
                      <a:off x="0" y="0"/>
                      <a:ext cx="4277360" cy="2293620"/>
                    </a:xfrm>
                    <a:prstGeom prst="rect">
                      <a:avLst/>
                    </a:prstGeom>
                    <a:noFill/>
                    <a:ln>
                      <a:noFill/>
                    </a:ln>
                  </pic:spPr>
                </pic:pic>
              </a:graphicData>
            </a:graphic>
          </wp:anchor>
        </w:drawing>
      </w:r>
    </w:p>
    <w:p w14:paraId="7F752BEB">
      <w:pPr>
        <w:adjustRightInd w:val="0"/>
        <w:snapToGrid w:val="0"/>
        <w:spacing w:before="156" w:beforeLines="50" w:line="360" w:lineRule="auto"/>
        <w:ind w:firstLine="480"/>
        <w:rPr>
          <w:rFonts w:hint="eastAsia" w:eastAsia="仿宋"/>
          <w:sz w:val="24"/>
        </w:rPr>
      </w:pPr>
    </w:p>
    <w:p w14:paraId="092E41D2">
      <w:pPr>
        <w:adjustRightInd w:val="0"/>
        <w:snapToGrid w:val="0"/>
        <w:spacing w:before="156" w:beforeLines="50" w:line="360" w:lineRule="auto"/>
        <w:ind w:firstLine="480"/>
        <w:rPr>
          <w:rFonts w:hint="eastAsia" w:eastAsia="仿宋"/>
          <w:sz w:val="24"/>
        </w:rPr>
      </w:pPr>
    </w:p>
    <w:p w14:paraId="66ECE624">
      <w:pPr>
        <w:adjustRightInd w:val="0"/>
        <w:snapToGrid w:val="0"/>
        <w:spacing w:before="156" w:beforeLines="50" w:line="360" w:lineRule="auto"/>
        <w:ind w:firstLine="480"/>
        <w:rPr>
          <w:rFonts w:eastAsia="仿宋"/>
          <w:sz w:val="24"/>
        </w:rPr>
      </w:pPr>
      <w:r>
        <w:rPr>
          <w:rFonts w:hint="eastAsia" w:eastAsia="仿宋"/>
          <w:sz w:val="24"/>
        </w:rPr>
        <w:t>骤变</w:t>
      </w:r>
      <w:r>
        <w:rPr>
          <w:rFonts w:eastAsia="仿宋"/>
          <w:sz w:val="24"/>
        </w:rPr>
        <w:t>处理后，残存于</w:t>
      </w:r>
      <w:r>
        <w:rPr>
          <w:rFonts w:hint="eastAsia" w:eastAsia="仿宋"/>
          <w:sz w:val="24"/>
        </w:rPr>
        <w:t>骤变</w:t>
      </w:r>
      <w:r>
        <w:rPr>
          <w:rFonts w:eastAsia="仿宋"/>
          <w:sz w:val="24"/>
        </w:rPr>
        <w:t>物中的木质素分子量及分布：</w:t>
      </w:r>
    </w:p>
    <w:p w14:paraId="2C8DEF32">
      <w:pPr>
        <w:adjustRightInd w:val="0"/>
        <w:snapToGrid w:val="0"/>
        <w:spacing w:before="156" w:beforeLines="50" w:line="360" w:lineRule="auto"/>
        <w:ind w:firstLine="480"/>
        <w:rPr>
          <w:rFonts w:hint="eastAsia" w:eastAsia="仿宋"/>
          <w:sz w:val="24"/>
        </w:rPr>
      </w:pPr>
      <w:r>
        <w:rPr>
          <w:rFonts w:eastAsia="仿宋"/>
          <w:sz w:val="24"/>
        </w:rPr>
        <w:drawing>
          <wp:anchor distT="0" distB="0" distL="114300" distR="114300" simplePos="0" relativeHeight="251659264" behindDoc="0" locked="0" layoutInCell="1" allowOverlap="1">
            <wp:simplePos x="0" y="0"/>
            <wp:positionH relativeFrom="column">
              <wp:posOffset>802005</wp:posOffset>
            </wp:positionH>
            <wp:positionV relativeFrom="paragraph">
              <wp:posOffset>160020</wp:posOffset>
            </wp:positionV>
            <wp:extent cx="4391025" cy="2148205"/>
            <wp:effectExtent l="0" t="0" r="9525"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stretch>
                      <a:fillRect/>
                    </a:stretch>
                  </pic:blipFill>
                  <pic:spPr>
                    <a:xfrm>
                      <a:off x="0" y="0"/>
                      <a:ext cx="4391025" cy="2148205"/>
                    </a:xfrm>
                    <a:prstGeom prst="rect">
                      <a:avLst/>
                    </a:prstGeom>
                    <a:noFill/>
                    <a:ln>
                      <a:noFill/>
                    </a:ln>
                  </pic:spPr>
                </pic:pic>
              </a:graphicData>
            </a:graphic>
          </wp:anchor>
        </w:drawing>
      </w:r>
    </w:p>
    <w:p w14:paraId="09D5F4CE">
      <w:pPr>
        <w:adjustRightInd w:val="0"/>
        <w:snapToGrid w:val="0"/>
        <w:spacing w:before="156" w:beforeLines="50" w:line="360" w:lineRule="auto"/>
        <w:ind w:firstLine="480"/>
        <w:rPr>
          <w:rFonts w:hint="eastAsia" w:eastAsia="仿宋"/>
          <w:sz w:val="24"/>
        </w:rPr>
      </w:pPr>
    </w:p>
    <w:p w14:paraId="27ECD0F3">
      <w:pPr>
        <w:adjustRightInd w:val="0"/>
        <w:snapToGrid w:val="0"/>
        <w:spacing w:before="156" w:beforeLines="50" w:line="360" w:lineRule="auto"/>
        <w:ind w:firstLine="480"/>
        <w:rPr>
          <w:rFonts w:hint="eastAsia" w:eastAsia="仿宋"/>
          <w:sz w:val="24"/>
        </w:rPr>
      </w:pPr>
    </w:p>
    <w:p w14:paraId="5FDF6CF3">
      <w:pPr>
        <w:adjustRightInd w:val="0"/>
        <w:snapToGrid w:val="0"/>
        <w:spacing w:before="156" w:beforeLines="50" w:line="360" w:lineRule="auto"/>
        <w:ind w:firstLine="480"/>
        <w:rPr>
          <w:rFonts w:hint="eastAsia" w:eastAsia="仿宋"/>
          <w:sz w:val="24"/>
        </w:rPr>
      </w:pPr>
    </w:p>
    <w:p w14:paraId="137E941B">
      <w:pPr>
        <w:adjustRightInd w:val="0"/>
        <w:snapToGrid w:val="0"/>
        <w:spacing w:before="156" w:beforeLines="50" w:line="360" w:lineRule="auto"/>
        <w:ind w:firstLine="480"/>
        <w:rPr>
          <w:rFonts w:hint="eastAsia" w:eastAsia="仿宋"/>
          <w:sz w:val="24"/>
        </w:rPr>
      </w:pPr>
    </w:p>
    <w:p w14:paraId="2675C737">
      <w:pPr>
        <w:adjustRightInd w:val="0"/>
        <w:snapToGrid w:val="0"/>
        <w:spacing w:before="156" w:beforeLines="50" w:line="360" w:lineRule="auto"/>
        <w:ind w:firstLine="480"/>
        <w:rPr>
          <w:rFonts w:hint="eastAsia" w:eastAsia="仿宋"/>
          <w:sz w:val="24"/>
        </w:rPr>
      </w:pPr>
    </w:p>
    <w:p w14:paraId="1F2B9A8C">
      <w:pPr>
        <w:adjustRightInd w:val="0"/>
        <w:snapToGrid w:val="0"/>
        <w:spacing w:before="156" w:beforeLines="50" w:line="360" w:lineRule="auto"/>
        <w:ind w:firstLine="480"/>
        <w:rPr>
          <w:rFonts w:hint="eastAsia" w:eastAsia="仿宋"/>
          <w:sz w:val="24"/>
        </w:rPr>
      </w:pPr>
    </w:p>
    <w:p w14:paraId="7582AC32">
      <w:pPr>
        <w:adjustRightInd w:val="0"/>
        <w:snapToGrid w:val="0"/>
        <w:spacing w:before="156" w:beforeLines="50" w:line="360" w:lineRule="auto"/>
        <w:ind w:firstLine="480"/>
        <w:rPr>
          <w:rFonts w:hint="eastAsia" w:eastAsia="仿宋"/>
          <w:sz w:val="24"/>
        </w:rPr>
      </w:pPr>
      <w:r>
        <w:rPr>
          <w:rFonts w:hint="eastAsia" w:eastAsia="仿宋"/>
          <w:sz w:val="24"/>
        </w:rPr>
        <w:t>分布图说明</w:t>
      </w:r>
    </w:p>
    <w:p w14:paraId="7803408C">
      <w:pPr>
        <w:adjustRightInd w:val="0"/>
        <w:snapToGrid w:val="0"/>
        <w:spacing w:before="156" w:beforeLines="50" w:line="360" w:lineRule="auto"/>
        <w:ind w:firstLine="480"/>
        <w:rPr>
          <w:rFonts w:hint="eastAsia" w:eastAsia="仿宋"/>
          <w:sz w:val="24"/>
        </w:rPr>
      </w:pPr>
      <w:r>
        <w:rPr>
          <w:rFonts w:hint="eastAsia" w:eastAsia="仿宋"/>
          <w:sz w:val="24"/>
        </w:rPr>
        <w:t>图中看出</w:t>
      </w:r>
      <w:r>
        <w:rPr>
          <w:rFonts w:hint="eastAsia" w:eastAsia="仿宋"/>
          <w:sz w:val="24"/>
          <w:lang w:eastAsia="zh-CN"/>
        </w:rPr>
        <w:t>，</w:t>
      </w:r>
      <w:r>
        <w:rPr>
          <w:rFonts w:hint="eastAsia" w:eastAsia="仿宋"/>
          <w:sz w:val="24"/>
        </w:rPr>
        <w:t>闪爆前分布区间为（600，1400）</w:t>
      </w:r>
    </w:p>
    <w:p w14:paraId="5547A06D">
      <w:pPr>
        <w:adjustRightInd w:val="0"/>
        <w:snapToGrid w:val="0"/>
        <w:spacing w:before="156" w:beforeLines="50" w:line="360" w:lineRule="auto"/>
        <w:ind w:firstLine="480"/>
        <w:rPr>
          <w:rFonts w:hint="eastAsia" w:eastAsia="仿宋"/>
          <w:sz w:val="24"/>
        </w:rPr>
      </w:pPr>
      <w:r>
        <w:rPr>
          <w:rFonts w:hint="eastAsia" w:eastAsia="仿宋"/>
          <w:sz w:val="24"/>
        </w:rPr>
        <w:t>闪爆后分布区间则右移到（700，1400）</w:t>
      </w:r>
    </w:p>
    <w:p w14:paraId="61D059DF">
      <w:pPr>
        <w:adjustRightInd w:val="0"/>
        <w:snapToGrid w:val="0"/>
        <w:spacing w:before="156" w:beforeLines="50" w:line="360" w:lineRule="auto"/>
        <w:ind w:firstLine="480"/>
        <w:rPr>
          <w:rFonts w:hint="eastAsia" w:eastAsia="仿宋"/>
          <w:sz w:val="24"/>
        </w:rPr>
      </w:pPr>
      <w:r>
        <w:rPr>
          <w:rFonts w:hint="eastAsia" w:eastAsia="仿宋"/>
          <w:sz w:val="24"/>
        </w:rPr>
        <w:t>区间的纵坐标值与闪爆前相比，其相应横坐标的纵坐标值也降低了不少。</w:t>
      </w:r>
    </w:p>
    <w:p w14:paraId="0E806DEF">
      <w:pPr>
        <w:adjustRightInd w:val="0"/>
        <w:snapToGrid w:val="0"/>
        <w:spacing w:before="156" w:beforeLines="50" w:line="360" w:lineRule="auto"/>
        <w:ind w:firstLine="480"/>
        <w:rPr>
          <w:rFonts w:hint="eastAsia" w:eastAsia="仿宋"/>
          <w:sz w:val="24"/>
        </w:rPr>
      </w:pPr>
      <w:r>
        <w:rPr>
          <w:rFonts w:hint="eastAsia" w:eastAsia="仿宋"/>
          <w:sz w:val="24"/>
        </w:rPr>
        <w:t>降低的部分也就是多聚糖类碳水化合物、半纤维素氧化降解物。</w:t>
      </w:r>
    </w:p>
    <w:p w14:paraId="685F3DF2">
      <w:pPr>
        <w:adjustRightInd w:val="0"/>
        <w:snapToGrid w:val="0"/>
        <w:spacing w:before="156" w:beforeLines="50" w:after="156" w:afterLines="50" w:line="360" w:lineRule="auto"/>
        <w:ind w:firstLine="0" w:firstLineChars="0"/>
        <w:rPr>
          <w:rFonts w:eastAsia="黑体"/>
          <w:b/>
          <w:sz w:val="32"/>
          <w:szCs w:val="32"/>
        </w:rPr>
      </w:pPr>
      <w:r>
        <w:rPr>
          <w:rFonts w:hint="eastAsia" w:eastAsia="黑体"/>
          <w:b/>
          <w:sz w:val="32"/>
          <w:szCs w:val="32"/>
          <w:lang w:val="en-US" w:eastAsia="zh-CN"/>
        </w:rPr>
        <w:t>四</w:t>
      </w:r>
      <w:r>
        <w:rPr>
          <w:rFonts w:eastAsia="黑体"/>
          <w:b/>
          <w:sz w:val="32"/>
          <w:szCs w:val="32"/>
        </w:rPr>
        <w:t>、与现行法律、法规和强制性标准的关系</w:t>
      </w:r>
    </w:p>
    <w:p w14:paraId="6037A650">
      <w:pPr>
        <w:adjustRightInd w:val="0"/>
        <w:snapToGrid w:val="0"/>
        <w:spacing w:before="156" w:beforeLines="50" w:line="360" w:lineRule="auto"/>
        <w:rPr>
          <w:rFonts w:eastAsia="仿宋"/>
          <w:sz w:val="24"/>
        </w:rPr>
      </w:pPr>
      <w:r>
        <w:rPr>
          <w:rFonts w:eastAsia="仿宋"/>
          <w:sz w:val="24"/>
        </w:rPr>
        <w:t>在</w:t>
      </w:r>
      <w:r>
        <w:rPr>
          <w:rFonts w:hint="eastAsia" w:eastAsia="仿宋"/>
          <w:sz w:val="24"/>
          <w:lang w:val="en-US" w:eastAsia="zh-CN"/>
        </w:rPr>
        <w:t>本文件</w:t>
      </w:r>
      <w:r>
        <w:rPr>
          <w:rFonts w:eastAsia="仿宋"/>
          <w:sz w:val="24"/>
        </w:rPr>
        <w:t>的制定过程中严格贯彻国家有关方针、政策、法律和规章，严格执行强制性国家标准和行业标准。与相关的各种基础标准相衔接，遵循政策性和协调同一性的原则。</w:t>
      </w:r>
    </w:p>
    <w:p w14:paraId="08953F5C">
      <w:pPr>
        <w:adjustRightInd w:val="0"/>
        <w:snapToGrid w:val="0"/>
        <w:spacing w:before="156" w:beforeLines="50" w:after="156" w:afterLines="50" w:line="360" w:lineRule="auto"/>
        <w:ind w:firstLine="0" w:firstLineChars="0"/>
        <w:rPr>
          <w:rFonts w:eastAsia="黑体"/>
          <w:b/>
          <w:sz w:val="32"/>
          <w:szCs w:val="32"/>
        </w:rPr>
      </w:pPr>
      <w:r>
        <w:rPr>
          <w:rFonts w:hint="eastAsia" w:eastAsia="黑体"/>
          <w:b/>
          <w:sz w:val="32"/>
          <w:szCs w:val="32"/>
          <w:lang w:val="en-US" w:eastAsia="zh-CN"/>
        </w:rPr>
        <w:t>五</w:t>
      </w:r>
      <w:r>
        <w:rPr>
          <w:rFonts w:eastAsia="黑体"/>
          <w:b/>
          <w:sz w:val="32"/>
          <w:szCs w:val="32"/>
        </w:rPr>
        <w:t>、重大分歧意见的处理经过和依据</w:t>
      </w:r>
    </w:p>
    <w:p w14:paraId="1D5D65D0">
      <w:pPr>
        <w:adjustRightInd w:val="0"/>
        <w:snapToGrid w:val="0"/>
        <w:spacing w:before="156" w:beforeLines="50" w:after="156" w:afterLines="50" w:line="360" w:lineRule="auto"/>
        <w:ind w:firstLine="480" w:firstLineChars="200"/>
        <w:rPr>
          <w:rFonts w:hint="eastAsia" w:eastAsia="仿宋"/>
          <w:sz w:val="24"/>
        </w:rPr>
      </w:pPr>
      <w:r>
        <w:rPr>
          <w:rFonts w:hint="eastAsia" w:eastAsia="仿宋"/>
          <w:sz w:val="24"/>
        </w:rPr>
        <w:t>在标准制定的过程中没有出现重大意见分歧。</w:t>
      </w:r>
    </w:p>
    <w:p w14:paraId="6FC8B4A4">
      <w:pPr>
        <w:adjustRightInd w:val="0"/>
        <w:snapToGrid w:val="0"/>
        <w:spacing w:before="156" w:beforeLines="50" w:after="156" w:afterLines="50" w:line="360" w:lineRule="auto"/>
        <w:ind w:firstLine="0" w:firstLineChars="0"/>
        <w:rPr>
          <w:rFonts w:eastAsia="黑体"/>
          <w:b/>
          <w:sz w:val="32"/>
          <w:szCs w:val="32"/>
        </w:rPr>
      </w:pPr>
      <w:r>
        <w:rPr>
          <w:rFonts w:hint="eastAsia" w:eastAsia="黑体"/>
          <w:b/>
          <w:sz w:val="32"/>
          <w:szCs w:val="32"/>
          <w:lang w:val="en-US" w:eastAsia="zh-CN"/>
        </w:rPr>
        <w:t>六</w:t>
      </w:r>
      <w:r>
        <w:rPr>
          <w:rFonts w:eastAsia="黑体"/>
          <w:b/>
          <w:sz w:val="32"/>
          <w:szCs w:val="32"/>
        </w:rPr>
        <w:t>、贯彻标准的要求和措施建议</w:t>
      </w:r>
    </w:p>
    <w:p w14:paraId="2670B09C">
      <w:pPr>
        <w:adjustRightInd w:val="0"/>
        <w:snapToGrid w:val="0"/>
        <w:spacing w:before="156" w:beforeLines="50" w:line="360" w:lineRule="auto"/>
        <w:ind w:firstLine="480"/>
        <w:rPr>
          <w:rFonts w:eastAsia="仿宋"/>
          <w:sz w:val="24"/>
        </w:rPr>
      </w:pPr>
      <w:r>
        <w:rPr>
          <w:rFonts w:eastAsia="仿宋"/>
          <w:sz w:val="24"/>
        </w:rPr>
        <w:t>建议</w:t>
      </w:r>
      <w:r>
        <w:rPr>
          <w:rFonts w:hint="eastAsia" w:eastAsia="仿宋"/>
          <w:sz w:val="24"/>
          <w:lang w:val="en-US" w:eastAsia="zh-CN"/>
        </w:rPr>
        <w:t>联合政府相关部门</w:t>
      </w:r>
      <w:r>
        <w:rPr>
          <w:rFonts w:eastAsia="仿宋"/>
          <w:sz w:val="24"/>
        </w:rPr>
        <w:t>，将本</w:t>
      </w:r>
      <w:r>
        <w:rPr>
          <w:rFonts w:hint="eastAsia" w:eastAsia="仿宋"/>
          <w:sz w:val="24"/>
          <w:lang w:val="en-US" w:eastAsia="zh-CN"/>
        </w:rPr>
        <w:t>文件作为</w:t>
      </w:r>
      <w:r>
        <w:rPr>
          <w:rFonts w:eastAsia="仿宋"/>
          <w:sz w:val="24"/>
        </w:rPr>
        <w:t>技术指导文件予以推广应用，以提高秸秆的利用率，推动形成布局合理、多元利用的产业化发展格局，提高秸秆综合利用水平，支撑国家秸秆综合利用政策。</w:t>
      </w:r>
    </w:p>
    <w:p w14:paraId="53271468">
      <w:pPr>
        <w:adjustRightInd w:val="0"/>
        <w:snapToGrid w:val="0"/>
        <w:spacing w:before="156" w:beforeLines="50" w:line="360" w:lineRule="auto"/>
        <w:ind w:firstLine="0" w:firstLineChars="0"/>
        <w:rPr>
          <w:rFonts w:eastAsia="黑体"/>
          <w:b/>
          <w:sz w:val="32"/>
          <w:szCs w:val="32"/>
        </w:rPr>
      </w:pPr>
      <w:r>
        <w:rPr>
          <w:rFonts w:hint="eastAsia" w:eastAsia="黑体"/>
          <w:b/>
          <w:sz w:val="32"/>
          <w:szCs w:val="32"/>
          <w:lang w:val="en-US" w:eastAsia="zh-CN"/>
        </w:rPr>
        <w:t>七</w:t>
      </w:r>
      <w:r>
        <w:rPr>
          <w:rFonts w:eastAsia="黑体"/>
          <w:b/>
          <w:sz w:val="32"/>
          <w:szCs w:val="32"/>
        </w:rPr>
        <w:t>、其他应予说明的事项</w:t>
      </w:r>
    </w:p>
    <w:p w14:paraId="259D82EB">
      <w:pPr>
        <w:adjustRightInd w:val="0"/>
        <w:snapToGrid w:val="0"/>
        <w:spacing w:before="156" w:beforeLines="50" w:line="360" w:lineRule="auto"/>
        <w:ind w:firstLine="720" w:firstLineChars="300"/>
        <w:rPr>
          <w:rFonts w:eastAsia="仿宋"/>
          <w:sz w:val="24"/>
        </w:rPr>
      </w:pPr>
      <w:r>
        <w:rPr>
          <w:rFonts w:eastAsia="仿宋"/>
          <w:sz w:val="24"/>
        </w:rPr>
        <w:t>无</w:t>
      </w:r>
      <w:r>
        <w:rPr>
          <w:rFonts w:hint="eastAsia" w:eastAsia="仿宋"/>
          <w:sz w:val="24"/>
        </w:rPr>
        <w:t>其他应予说明的事项</w:t>
      </w:r>
      <w:r>
        <w:rPr>
          <w:rFonts w:eastAsia="仿宋"/>
          <w:sz w:val="24"/>
        </w:rPr>
        <w:t>。</w:t>
      </w:r>
    </w:p>
    <w:p w14:paraId="30E20D35">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02E50">
    <w:pPr>
      <w:pStyle w:val="4"/>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4B08">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309C9">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0B88">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CCB0B">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8B0D1">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decimal"/>
      <w:lvlText w:val="%1."/>
      <w:lvlJc w:val="left"/>
      <w:pPr>
        <w:tabs>
          <w:tab w:val="left" w:pos="420"/>
        </w:tabs>
        <w:ind w:left="420" w:hanging="420"/>
      </w:pPr>
      <w:rPr>
        <w:rFonts w:hint="default"/>
        <w:b/>
        <w:i w:val="0"/>
        <w:sz w:val="21"/>
      </w:rPr>
    </w:lvl>
    <w:lvl w:ilvl="1" w:tentative="0">
      <w:start w:val="1"/>
      <w:numFmt w:val="decimal"/>
      <w:suff w:val="nothing"/>
      <w:lvlText w:val="%2　"/>
      <w:lvlJc w:val="left"/>
      <w:pPr>
        <w:ind w:left="315"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5"/>
      <w:suff w:val="nothing"/>
      <w:lvlText w:val="%1%2.%3.%4.%5.%6.%7　"/>
      <w:lvlJc w:val="left"/>
      <w:pPr>
        <w:ind w:left="525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740B9"/>
    <w:rsid w:val="019C30A0"/>
    <w:rsid w:val="31F1654F"/>
    <w:rsid w:val="45B11EE5"/>
    <w:rsid w:val="463740B9"/>
    <w:rsid w:val="50EA7C22"/>
    <w:rsid w:val="76EA4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_GB2312" w:cs="Times New Roman"/>
      <w:kern w:val="2"/>
      <w:sz w:val="28"/>
      <w:szCs w:val="24"/>
      <w:lang w:val="en-US" w:eastAsia="zh-CN" w:bidi="ar-SA"/>
    </w:rPr>
  </w:style>
  <w:style w:type="paragraph" w:styleId="2">
    <w:name w:val="heading 1"/>
    <w:next w:val="1"/>
    <w:qFormat/>
    <w:uiPriority w:val="9"/>
    <w:pPr>
      <w:widowControl w:val="0"/>
      <w:spacing w:line="360" w:lineRule="auto"/>
      <w:ind w:firstLine="0" w:firstLineChars="0"/>
      <w:jc w:val="both"/>
      <w:outlineLvl w:val="0"/>
    </w:pPr>
    <w:rPr>
      <w:rFonts w:ascii="Times New Roman" w:hAnsi="Times New Roman" w:eastAsia="黑体" w:cs="Times New Roman"/>
      <w:bCs/>
      <w:kern w:val="44"/>
      <w:sz w:val="28"/>
      <w:szCs w:val="44"/>
      <w:lang w:val="en-US" w:eastAsia="zh-CN" w:bidi="ar-SA"/>
    </w:rPr>
  </w:style>
  <w:style w:type="paragraph" w:styleId="3">
    <w:name w:val="heading 2"/>
    <w:basedOn w:val="1"/>
    <w:next w:val="1"/>
    <w:qFormat/>
    <w:uiPriority w:val="9"/>
    <w:pPr>
      <w:widowControl w:val="0"/>
      <w:spacing w:line="360" w:lineRule="auto"/>
      <w:jc w:val="both"/>
      <w:outlineLvl w:val="1"/>
    </w:pPr>
    <w:rPr>
      <w:rFonts w:ascii="Cambria" w:hAnsi="Cambria" w:eastAsia="黑体"/>
      <w:bCs/>
      <w:kern w:val="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numPr>
        <w:ilvl w:val="6"/>
        <w:numId w:val="1"/>
      </w:numPr>
      <w:pBdr>
        <w:bottom w:val="single" w:color="auto" w:sz="6" w:space="1"/>
      </w:pBdr>
      <w:tabs>
        <w:tab w:val="center" w:pos="4153"/>
        <w:tab w:val="right" w:pos="8306"/>
      </w:tabs>
      <w:snapToGrid w:val="0"/>
      <w:ind w:firstLineChars="0"/>
      <w:jc w:val="center"/>
    </w:pPr>
    <w:rPr>
      <w:sz w:val="18"/>
      <w:szCs w:val="18"/>
    </w:rPr>
  </w:style>
  <w:style w:type="paragraph" w:customStyle="1" w:styleId="8">
    <w:name w:val="二级标题"/>
    <w:basedOn w:val="3"/>
    <w:next w:val="1"/>
    <w:qFormat/>
    <w:uiPriority w:val="0"/>
    <w:pPr>
      <w:adjustRightInd w:val="0"/>
      <w:snapToGrid w:val="0"/>
      <w:spacing w:before="100" w:beforeLines="100" w:after="100" w:afterLines="100" w:line="240" w:lineRule="auto"/>
    </w:pPr>
    <w:rPr>
      <w:rFonts w:ascii="黑体" w:hAnsi="黑体"/>
      <w:sz w:val="28"/>
      <w:szCs w:val="30"/>
    </w:rPr>
  </w:style>
  <w:style w:type="paragraph" w:customStyle="1" w:styleId="9">
    <w:name w:val="一级标题"/>
    <w:next w:val="1"/>
    <w:qFormat/>
    <w:uiPriority w:val="0"/>
    <w:pPr>
      <w:widowControl w:val="0"/>
      <w:adjustRightInd w:val="0"/>
      <w:snapToGrid w:val="0"/>
      <w:spacing w:before="100" w:beforeLines="100" w:after="100" w:afterLines="100" w:line="240" w:lineRule="auto"/>
      <w:ind w:firstLine="0" w:firstLineChars="0"/>
      <w:jc w:val="left"/>
      <w:outlineLvl w:val="0"/>
    </w:pPr>
    <w:rPr>
      <w:rFonts w:hint="eastAsia" w:ascii="Times New Roman" w:hAnsi="Times New Roman" w:eastAsia="黑体" w:cs="Times New Roman"/>
      <w:kern w:val="44"/>
      <w:sz w:val="32"/>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3852</Words>
  <Characters>3921</Characters>
  <Lines>0</Lines>
  <Paragraphs>0</Paragraphs>
  <TotalTime>2</TotalTime>
  <ScaleCrop>false</ScaleCrop>
  <LinksUpToDate>false</LinksUpToDate>
  <CharactersWithSpaces>3933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2026-02-28T01:01:00Z</dcterms:created>
  <dc:creator>海山</dc:creator>
  <cp:lastModifiedBy>海山</cp:lastModifiedBy>
  <dcterms:modified xsi:type="dcterms:W3CDTF">2026-03-06T06:33:38Z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9BE8DD7B94394005956A536F29863DDF_13</vt:lpwstr>
  </property>
  <property fmtid="{D5CDD505-2E9C-101B-9397-08002B2CF9AE}" pid="4" name="KSOTemplateDocerSaveRecord">
    <vt:lpwstr>eyJoZGlkIjoiZTczZTk3YTkxMDI0NTk4OGZjMmNiZTE5ODFhYTFkNjgiLCJ1c2VySWQiOiI0OTEzMTQ5NTMifQ==</vt:lpwstr>
  </property>
</Properties>
</file>