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EBB40">
      <w:bookmarkStart w:id="7" w:name="_GoBack"/>
      <w:bookmarkEnd w:id="7"/>
    </w:p>
    <w:p w14:paraId="19133727"/>
    <w:p w14:paraId="1BBF07E6"/>
    <w:p w14:paraId="0749B09B"/>
    <w:p w14:paraId="3C8495F1"/>
    <w:p w14:paraId="50EEAE68">
      <w:pPr>
        <w:pStyle w:val="26"/>
        <w:rPr>
          <w:rFonts w:hint="eastAsia"/>
        </w:rPr>
      </w:pPr>
      <w:r>
        <w:rPr>
          <w:rFonts w:hint="eastAsia"/>
        </w:rPr>
        <w:t>团体标准</w:t>
      </w:r>
    </w:p>
    <w:p w14:paraId="251B0CA9">
      <w:pPr>
        <w:pStyle w:val="26"/>
        <w:rPr>
          <w:rFonts w:hint="eastAsia"/>
        </w:rPr>
      </w:pPr>
      <w:r>
        <w:rPr>
          <w:rFonts w:hint="eastAsia"/>
        </w:rPr>
        <w:t>《</w:t>
      </w:r>
      <w:r>
        <w:t xml:space="preserve">温室气体 产品碳足迹量化方法和要求 </w:t>
      </w:r>
    </w:p>
    <w:p w14:paraId="17010048">
      <w:pPr>
        <w:pStyle w:val="26"/>
        <w:rPr>
          <w:rFonts w:hint="eastAsia"/>
        </w:rPr>
      </w:pPr>
      <w:r>
        <w:t>港口货物装卸服务</w:t>
      </w:r>
      <w:r>
        <w:rPr>
          <w:rFonts w:hint="eastAsia"/>
        </w:rPr>
        <w:t>》</w:t>
      </w:r>
    </w:p>
    <w:p w14:paraId="51769172">
      <w:pPr>
        <w:pStyle w:val="26"/>
        <w:rPr>
          <w:rFonts w:hint="eastAsia"/>
        </w:rPr>
      </w:pPr>
      <w:r>
        <w:t>（征求意见稿）</w:t>
      </w:r>
    </w:p>
    <w:p w14:paraId="1C33200D">
      <w:pPr>
        <w:pStyle w:val="26"/>
        <w:rPr>
          <w:rFonts w:hint="eastAsia"/>
        </w:rPr>
      </w:pPr>
      <w:r>
        <w:t>编制说明</w:t>
      </w:r>
    </w:p>
    <w:p w14:paraId="50CFA3EA"/>
    <w:p w14:paraId="758C7E08"/>
    <w:p w14:paraId="12066E93"/>
    <w:p w14:paraId="19FA7343"/>
    <w:p w14:paraId="6DBFE3CF"/>
    <w:p w14:paraId="33860AB5"/>
    <w:p w14:paraId="44E3430D"/>
    <w:p w14:paraId="426A8797"/>
    <w:p w14:paraId="4113BCB7"/>
    <w:p w14:paraId="7B163AFC"/>
    <w:p w14:paraId="09B240FB">
      <w:pPr>
        <w:pStyle w:val="21"/>
        <w:ind w:firstLine="590"/>
        <w:jc w:val="center"/>
        <w:rPr>
          <w:rFonts w:eastAsia="黑体" w:cs="Times New Roman"/>
        </w:rPr>
      </w:pPr>
      <w:r>
        <w:rPr>
          <w:rFonts w:eastAsia="黑体" w:cs="Times New Roman"/>
        </w:rPr>
        <w:t>标准编写组</w:t>
      </w:r>
    </w:p>
    <w:p w14:paraId="48F7D951">
      <w:pPr>
        <w:pStyle w:val="21"/>
        <w:ind w:firstLine="590"/>
        <w:jc w:val="center"/>
        <w:rPr>
          <w:rFonts w:eastAsia="黑体" w:cs="Times New Roman"/>
        </w:rPr>
        <w:sectPr>
          <w:footerReference r:id="rId5" w:type="default"/>
          <w:footerReference r:id="rId6" w:type="even"/>
          <w:pgSz w:w="11900" w:h="16840"/>
          <w:pgMar w:top="1440" w:right="1440" w:bottom="1440" w:left="1440" w:header="708" w:footer="708" w:gutter="0"/>
          <w:cols w:space="708" w:num="1"/>
          <w:docGrid w:linePitch="360" w:charSpace="0"/>
        </w:sectPr>
      </w:pPr>
      <w:r>
        <w:rPr>
          <w:rFonts w:eastAsia="黑体" w:cs="Times New Roman"/>
        </w:rPr>
        <w:t>2026年</w:t>
      </w:r>
      <w:r>
        <w:rPr>
          <w:rFonts w:hint="eastAsia" w:eastAsia="黑体" w:cs="Times New Roman"/>
        </w:rPr>
        <w:t>5</w:t>
      </w:r>
      <w:r>
        <w:rPr>
          <w:rFonts w:eastAsia="黑体" w:cs="Times New Roman"/>
        </w:rPr>
        <w:t>月</w:t>
      </w:r>
    </w:p>
    <w:sdt>
      <w:sdtPr>
        <w:rPr>
          <w:rFonts w:ascii="Times New Roman" w:hAnsi="Times New Roman" w:eastAsia="宋体" w:cstheme="minorBidi"/>
          <w:sz w:val="24"/>
          <w:szCs w:val="24"/>
          <w:lang w:val="en-AU" w:eastAsia="zh-CN"/>
        </w:rPr>
        <w:id w:val="1610165368"/>
        <w:docPartObj>
          <w:docPartGallery w:val="Table of Contents"/>
          <w:docPartUnique/>
        </w:docPartObj>
      </w:sdtPr>
      <w:sdtEndPr>
        <w:rPr>
          <w:rFonts w:ascii="Times New Roman" w:hAnsi="Times New Roman" w:eastAsia="宋体" w:cstheme="minorBidi"/>
          <w:b/>
          <w:bCs/>
          <w:sz w:val="24"/>
          <w:szCs w:val="24"/>
          <w:lang w:val="en-AU" w:eastAsia="zh-CN"/>
        </w:rPr>
      </w:sdtEndPr>
      <w:sdtContent>
        <w:p w14:paraId="19F9F4FE">
          <w:pPr>
            <w:pStyle w:val="48"/>
            <w:rPr>
              <w:rFonts w:hint="eastAsia"/>
            </w:rPr>
          </w:pPr>
          <w:r>
            <w:t>目录</w:t>
          </w:r>
        </w:p>
        <w:p w14:paraId="5698AC6F">
          <w:pPr>
            <w:pStyle w:val="19"/>
          </w:pPr>
          <w:r>
            <w:fldChar w:fldCharType="begin"/>
          </w:r>
          <w:r>
            <w:instrText xml:space="preserve"> TOC \o "1-1" \h \z \u </w:instrText>
          </w:r>
          <w:r>
            <w:fldChar w:fldCharType="separate"/>
          </w:r>
          <w:r>
            <w:fldChar w:fldCharType="begin"/>
          </w:r>
          <w:r>
            <w:instrText xml:space="preserve"> HYPERLINK \l "_Toc228225937" </w:instrText>
          </w:r>
          <w:r>
            <w:fldChar w:fldCharType="separate"/>
          </w:r>
          <w:r>
            <w:rPr>
              <w:rStyle w:val="30"/>
              <w:color w:val="auto"/>
              <w:u w:val="none"/>
            </w:rPr>
            <w:t>一、</w:t>
          </w:r>
          <w:r>
            <w:tab/>
          </w:r>
          <w:r>
            <w:rPr>
              <w:rStyle w:val="30"/>
              <w:color w:val="auto"/>
              <w:u w:val="none"/>
            </w:rPr>
            <w:t>工作简况</w:t>
          </w:r>
          <w:r>
            <w:tab/>
          </w:r>
          <w:r>
            <w:fldChar w:fldCharType="begin"/>
          </w:r>
          <w:r>
            <w:instrText xml:space="preserve"> PAGEREF _Toc228225937 \h </w:instrText>
          </w:r>
          <w:r>
            <w:fldChar w:fldCharType="separate"/>
          </w:r>
          <w:r>
            <w:t>1</w:t>
          </w:r>
          <w:r>
            <w:fldChar w:fldCharType="end"/>
          </w:r>
          <w:r>
            <w:fldChar w:fldCharType="end"/>
          </w:r>
        </w:p>
        <w:p w14:paraId="3A1BF82A">
          <w:pPr>
            <w:pStyle w:val="19"/>
            <w:rPr>
              <w:rFonts w:asciiTheme="minorHAnsi" w:hAnsiTheme="minorHAnsi" w:eastAsiaTheme="minorEastAsia" w:cstheme="minorBidi"/>
              <w:kern w:val="2"/>
              <w14:ligatures w14:val="standardContextual"/>
            </w:rPr>
          </w:pPr>
          <w:r>
            <w:fldChar w:fldCharType="begin"/>
          </w:r>
          <w:r>
            <w:instrText xml:space="preserve"> HYPERLINK \l "_Toc228225938" </w:instrText>
          </w:r>
          <w:r>
            <w:fldChar w:fldCharType="separate"/>
          </w:r>
          <w:r>
            <w:rPr>
              <w:rStyle w:val="30"/>
            </w:rPr>
            <w:t>二、</w:t>
          </w:r>
          <w:r>
            <w:rPr>
              <w:rFonts w:asciiTheme="minorHAnsi" w:hAnsiTheme="minorHAnsi" w:eastAsiaTheme="minorEastAsia" w:cstheme="minorBidi"/>
              <w:kern w:val="2"/>
              <w14:ligatures w14:val="standardContextual"/>
            </w:rPr>
            <w:tab/>
          </w:r>
          <w:r>
            <w:rPr>
              <w:rStyle w:val="30"/>
            </w:rPr>
            <w:t>编制原则、主要内容及依据</w:t>
          </w:r>
          <w:r>
            <w:tab/>
          </w:r>
          <w:r>
            <w:fldChar w:fldCharType="begin"/>
          </w:r>
          <w:r>
            <w:instrText xml:space="preserve"> PAGEREF _Toc228225938 \h </w:instrText>
          </w:r>
          <w:r>
            <w:fldChar w:fldCharType="separate"/>
          </w:r>
          <w:r>
            <w:t>4</w:t>
          </w:r>
          <w:r>
            <w:fldChar w:fldCharType="end"/>
          </w:r>
          <w:r>
            <w:fldChar w:fldCharType="end"/>
          </w:r>
        </w:p>
        <w:p w14:paraId="5E0C34EE">
          <w:pPr>
            <w:pStyle w:val="19"/>
            <w:rPr>
              <w:rFonts w:asciiTheme="minorHAnsi" w:hAnsiTheme="minorHAnsi" w:eastAsiaTheme="minorEastAsia" w:cstheme="minorBidi"/>
              <w:kern w:val="2"/>
              <w14:ligatures w14:val="standardContextual"/>
            </w:rPr>
          </w:pPr>
          <w:r>
            <w:fldChar w:fldCharType="begin"/>
          </w:r>
          <w:r>
            <w:instrText xml:space="preserve"> HYPERLINK \l "_Toc228225939" </w:instrText>
          </w:r>
          <w:r>
            <w:fldChar w:fldCharType="separate"/>
          </w:r>
          <w:r>
            <w:rPr>
              <w:rStyle w:val="30"/>
            </w:rPr>
            <w:t>三、</w:t>
          </w:r>
          <w:r>
            <w:rPr>
              <w:rFonts w:asciiTheme="minorHAnsi" w:hAnsiTheme="minorHAnsi" w:eastAsiaTheme="minorEastAsia" w:cstheme="minorBidi"/>
              <w:kern w:val="2"/>
              <w14:ligatures w14:val="standardContextual"/>
            </w:rPr>
            <w:tab/>
          </w:r>
          <w:r>
            <w:rPr>
              <w:rStyle w:val="30"/>
            </w:rPr>
            <w:t>与国内同类标准技术、有关法律、行政法规的关系</w:t>
          </w:r>
          <w:r>
            <w:tab/>
          </w:r>
          <w:r>
            <w:fldChar w:fldCharType="begin"/>
          </w:r>
          <w:r>
            <w:instrText xml:space="preserve"> PAGEREF _Toc228225939 \h </w:instrText>
          </w:r>
          <w:r>
            <w:fldChar w:fldCharType="separate"/>
          </w:r>
          <w:r>
            <w:t>9</w:t>
          </w:r>
          <w:r>
            <w:fldChar w:fldCharType="end"/>
          </w:r>
          <w:r>
            <w:fldChar w:fldCharType="end"/>
          </w:r>
        </w:p>
        <w:p w14:paraId="155767DA">
          <w:pPr>
            <w:pStyle w:val="19"/>
            <w:rPr>
              <w:rFonts w:asciiTheme="minorHAnsi" w:hAnsiTheme="minorHAnsi" w:eastAsiaTheme="minorEastAsia" w:cstheme="minorBidi"/>
              <w:kern w:val="2"/>
              <w14:ligatures w14:val="standardContextual"/>
            </w:rPr>
          </w:pPr>
          <w:r>
            <w:fldChar w:fldCharType="begin"/>
          </w:r>
          <w:r>
            <w:instrText xml:space="preserve"> HYPERLINK \l "_Toc228225940" </w:instrText>
          </w:r>
          <w:r>
            <w:fldChar w:fldCharType="separate"/>
          </w:r>
          <w:r>
            <w:rPr>
              <w:rStyle w:val="30"/>
            </w:rPr>
            <w:t>四、</w:t>
          </w:r>
          <w:r>
            <w:rPr>
              <w:rFonts w:asciiTheme="minorHAnsi" w:hAnsiTheme="minorHAnsi" w:eastAsiaTheme="minorEastAsia" w:cstheme="minorBidi"/>
              <w:kern w:val="2"/>
              <w14:ligatures w14:val="standardContextual"/>
            </w:rPr>
            <w:tab/>
          </w:r>
          <w:r>
            <w:rPr>
              <w:rStyle w:val="30"/>
            </w:rPr>
            <w:t>与国际同类标准技术、有关法律、行政法规的关系</w:t>
          </w:r>
          <w:r>
            <w:tab/>
          </w:r>
          <w:r>
            <w:fldChar w:fldCharType="begin"/>
          </w:r>
          <w:r>
            <w:instrText xml:space="preserve"> PAGEREF _Toc228225940 \h </w:instrText>
          </w:r>
          <w:r>
            <w:fldChar w:fldCharType="separate"/>
          </w:r>
          <w:r>
            <w:t>10</w:t>
          </w:r>
          <w:r>
            <w:fldChar w:fldCharType="end"/>
          </w:r>
          <w:r>
            <w:fldChar w:fldCharType="end"/>
          </w:r>
        </w:p>
        <w:p w14:paraId="5537E46B">
          <w:pPr>
            <w:pStyle w:val="19"/>
            <w:rPr>
              <w:rFonts w:asciiTheme="minorHAnsi" w:hAnsiTheme="minorHAnsi" w:eastAsiaTheme="minorEastAsia" w:cstheme="minorBidi"/>
              <w:kern w:val="2"/>
              <w14:ligatures w14:val="standardContextual"/>
            </w:rPr>
          </w:pPr>
          <w:r>
            <w:fldChar w:fldCharType="begin"/>
          </w:r>
          <w:r>
            <w:instrText xml:space="preserve"> HYPERLINK \l "_Toc228225941" </w:instrText>
          </w:r>
          <w:r>
            <w:fldChar w:fldCharType="separate"/>
          </w:r>
          <w:r>
            <w:rPr>
              <w:rStyle w:val="30"/>
            </w:rPr>
            <w:t>五、</w:t>
          </w:r>
          <w:r>
            <w:rPr>
              <w:rFonts w:asciiTheme="minorHAnsi" w:hAnsiTheme="minorHAnsi" w:eastAsiaTheme="minorEastAsia" w:cstheme="minorBidi"/>
              <w:kern w:val="2"/>
              <w14:ligatures w14:val="standardContextual"/>
            </w:rPr>
            <w:tab/>
          </w:r>
          <w:r>
            <w:rPr>
              <w:rStyle w:val="30"/>
            </w:rPr>
            <w:t>重大分歧意见的处理经过和依据</w:t>
          </w:r>
          <w:r>
            <w:tab/>
          </w:r>
          <w:r>
            <w:fldChar w:fldCharType="begin"/>
          </w:r>
          <w:r>
            <w:instrText xml:space="preserve"> PAGEREF _Toc228225941 \h </w:instrText>
          </w:r>
          <w:r>
            <w:fldChar w:fldCharType="separate"/>
          </w:r>
          <w:r>
            <w:t>10</w:t>
          </w:r>
          <w:r>
            <w:fldChar w:fldCharType="end"/>
          </w:r>
          <w:r>
            <w:fldChar w:fldCharType="end"/>
          </w:r>
        </w:p>
        <w:p w14:paraId="5C42CEFC">
          <w:pPr>
            <w:pStyle w:val="19"/>
            <w:rPr>
              <w:rFonts w:asciiTheme="minorHAnsi" w:hAnsiTheme="minorHAnsi" w:eastAsiaTheme="minorEastAsia" w:cstheme="minorBidi"/>
              <w:kern w:val="2"/>
              <w14:ligatures w14:val="standardContextual"/>
            </w:rPr>
          </w:pPr>
          <w:r>
            <w:fldChar w:fldCharType="begin"/>
          </w:r>
          <w:r>
            <w:instrText xml:space="preserve"> HYPERLINK \l "_Toc228225942" </w:instrText>
          </w:r>
          <w:r>
            <w:fldChar w:fldCharType="separate"/>
          </w:r>
          <w:r>
            <w:rPr>
              <w:rStyle w:val="30"/>
            </w:rPr>
            <w:t>六、</w:t>
          </w:r>
          <w:r>
            <w:rPr>
              <w:rFonts w:asciiTheme="minorHAnsi" w:hAnsiTheme="minorHAnsi" w:eastAsiaTheme="minorEastAsia" w:cstheme="minorBidi"/>
              <w:kern w:val="2"/>
              <w14:ligatures w14:val="standardContextual"/>
            </w:rPr>
            <w:tab/>
          </w:r>
          <w:r>
            <w:rPr>
              <w:rStyle w:val="30"/>
            </w:rPr>
            <w:t>涉及专利的有关说明</w:t>
          </w:r>
          <w:r>
            <w:tab/>
          </w:r>
          <w:r>
            <w:fldChar w:fldCharType="begin"/>
          </w:r>
          <w:r>
            <w:instrText xml:space="preserve"> PAGEREF _Toc228225942 \h </w:instrText>
          </w:r>
          <w:r>
            <w:fldChar w:fldCharType="separate"/>
          </w:r>
          <w:r>
            <w:t>11</w:t>
          </w:r>
          <w:r>
            <w:fldChar w:fldCharType="end"/>
          </w:r>
          <w:r>
            <w:fldChar w:fldCharType="end"/>
          </w:r>
        </w:p>
        <w:p w14:paraId="0A0B8BE4">
          <w:pPr>
            <w:pStyle w:val="19"/>
            <w:rPr>
              <w:rFonts w:asciiTheme="minorHAnsi" w:hAnsiTheme="minorHAnsi" w:eastAsiaTheme="minorEastAsia" w:cstheme="minorBidi"/>
              <w:kern w:val="2"/>
              <w14:ligatures w14:val="standardContextual"/>
            </w:rPr>
          </w:pPr>
          <w:r>
            <w:fldChar w:fldCharType="begin"/>
          </w:r>
          <w:r>
            <w:instrText xml:space="preserve"> HYPERLINK \l "_Toc228225943" </w:instrText>
          </w:r>
          <w:r>
            <w:fldChar w:fldCharType="separate"/>
          </w:r>
          <w:r>
            <w:rPr>
              <w:rStyle w:val="30"/>
            </w:rPr>
            <w:t>七、</w:t>
          </w:r>
          <w:r>
            <w:rPr>
              <w:rFonts w:asciiTheme="minorHAnsi" w:hAnsiTheme="minorHAnsi" w:eastAsiaTheme="minorEastAsia" w:cstheme="minorBidi"/>
              <w:kern w:val="2"/>
              <w14:ligatures w14:val="standardContextual"/>
            </w:rPr>
            <w:tab/>
          </w:r>
          <w:r>
            <w:rPr>
              <w:rStyle w:val="30"/>
            </w:rPr>
            <w:t>其他应当说明的事项</w:t>
          </w:r>
          <w:r>
            <w:tab/>
          </w:r>
          <w:r>
            <w:fldChar w:fldCharType="begin"/>
          </w:r>
          <w:r>
            <w:instrText xml:space="preserve"> PAGEREF _Toc228225943 \h </w:instrText>
          </w:r>
          <w:r>
            <w:fldChar w:fldCharType="separate"/>
          </w:r>
          <w:r>
            <w:t>11</w:t>
          </w:r>
          <w:r>
            <w:fldChar w:fldCharType="end"/>
          </w:r>
          <w:r>
            <w:fldChar w:fldCharType="end"/>
          </w:r>
        </w:p>
        <w:p w14:paraId="25387FF4">
          <w:pPr>
            <w:tabs>
              <w:tab w:val="left" w:pos="1134"/>
            </w:tabs>
            <w:ind w:firstLine="566" w:firstLineChars="283"/>
          </w:pPr>
          <w:r>
            <w:rPr>
              <w:rFonts w:asciiTheme="minorHAnsi" w:hAnsiTheme="minorHAnsi" w:cstheme="minorHAnsi"/>
              <w:caps/>
              <w:sz w:val="20"/>
              <w:szCs w:val="20"/>
            </w:rPr>
            <w:fldChar w:fldCharType="end"/>
          </w:r>
        </w:p>
      </w:sdtContent>
    </w:sdt>
    <w:p w14:paraId="5EA60546"/>
    <w:p w14:paraId="08E81553"/>
    <w:p w14:paraId="21122100">
      <w:pPr>
        <w:sectPr>
          <w:pgSz w:w="11900" w:h="16840"/>
          <w:pgMar w:top="1440" w:right="1440" w:bottom="1440" w:left="1440" w:header="708" w:footer="708" w:gutter="0"/>
          <w:cols w:space="708" w:num="1"/>
          <w:docGrid w:linePitch="360" w:charSpace="0"/>
        </w:sectPr>
      </w:pPr>
    </w:p>
    <w:p w14:paraId="60C5ED91">
      <w:pPr>
        <w:pStyle w:val="2"/>
        <w:rPr>
          <w:rFonts w:hint="eastAsia"/>
        </w:rPr>
      </w:pPr>
      <w:bookmarkStart w:id="0" w:name="_Toc228225937"/>
      <w:r>
        <w:t>工作简况</w:t>
      </w:r>
      <w:bookmarkEnd w:id="0"/>
    </w:p>
    <w:p w14:paraId="11E36B1E">
      <w:pPr>
        <w:pStyle w:val="4"/>
        <w:rPr>
          <w:rFonts w:hint="eastAsia"/>
        </w:rPr>
      </w:pPr>
      <w:r>
        <w:t>任务来源</w:t>
      </w:r>
    </w:p>
    <w:p w14:paraId="17C8D349">
      <w:pPr>
        <w:rPr>
          <w:highlight w:val="none"/>
        </w:rPr>
      </w:pPr>
      <w:r>
        <w:rPr>
          <w:rFonts w:hint="eastAsia"/>
        </w:rPr>
        <w:t>本团体标准</w:t>
      </w:r>
      <w:r>
        <w:rPr>
          <w:rFonts w:hint="eastAsia"/>
          <w:highlight w:val="none"/>
        </w:rPr>
        <w:t>由</w:t>
      </w:r>
      <w:r>
        <w:rPr>
          <w:highlight w:val="none"/>
        </w:rPr>
        <w:t>招商港航数字科技（辽宁）有限公司</w:t>
      </w:r>
      <w:r>
        <w:rPr>
          <w:rFonts w:hint="eastAsia"/>
          <w:highlight w:val="none"/>
        </w:rPr>
        <w:t>立项编制，立项标准名称为《</w:t>
      </w:r>
      <w:r>
        <w:rPr>
          <w:highlight w:val="none"/>
        </w:rPr>
        <w:t>温室气体 产品碳足迹量化方法和要求 港口货物装卸服务</w:t>
      </w:r>
      <w:r>
        <w:rPr>
          <w:rFonts w:hint="eastAsia"/>
          <w:highlight w:val="none"/>
        </w:rPr>
        <w:t>》。本标准起草单位为</w:t>
      </w:r>
      <w:r>
        <w:rPr>
          <w:highlight w:val="none"/>
        </w:rPr>
        <w:t>辽宁港口集团</w:t>
      </w:r>
      <w:r>
        <w:rPr>
          <w:rFonts w:hint="eastAsia"/>
          <w:highlight w:val="none"/>
          <w:lang w:val="en-US" w:eastAsia="zh-CN"/>
        </w:rPr>
        <w:t>有限公司</w:t>
      </w:r>
      <w:r>
        <w:rPr>
          <w:highlight w:val="none"/>
        </w:rPr>
        <w:t>、中国船级社质量认证有限公司、大连集装箱码头有限公司、招商港航数字科技（辽宁）有限公司</w:t>
      </w:r>
      <w:r>
        <w:rPr>
          <w:rFonts w:hint="eastAsia"/>
          <w:highlight w:val="none"/>
        </w:rPr>
        <w:t xml:space="preserve">等。 </w:t>
      </w:r>
    </w:p>
    <w:p w14:paraId="0D32D6B6">
      <w:pPr>
        <w:pStyle w:val="4"/>
        <w:rPr>
          <w:rFonts w:hint="eastAsia"/>
        </w:rPr>
      </w:pPr>
      <w:r>
        <w:rPr>
          <w:rFonts w:hint="eastAsia"/>
        </w:rPr>
        <w:t>背景、目的和意义</w:t>
      </w:r>
    </w:p>
    <w:p w14:paraId="23BBF261">
      <w:r>
        <w:t>在全球应对气候变化与我国“双碳”战略深入推进的双重背景下，港口作为全球供应链的关键节点和能源消耗密集型基础设施，其绿色低碳转型已从“可选项”变为“必选项”。集装箱、杂货、滚装三大业态覆盖了港口绝大多数货物吞吐量，其作业服务碳足迹的核算与管理，直接关系到我国对外贸易的绿色竞争力与可持续发展能力。因此，编制《温室气体 产品碳足迹量化方法和要求 港口货物装卸服务》具有紧迫的现实需求与深远的战略意义。</w:t>
      </w:r>
    </w:p>
    <w:p w14:paraId="4D62D654">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w:t>
      </w:r>
      <w:r>
        <w:t>国际碳税壁垒倒逼港口碳数据标准化</w:t>
      </w:r>
    </w:p>
    <w:p w14:paraId="5C0050F7">
      <w:pPr>
        <w:keepNext w:val="0"/>
        <w:keepLines w:val="0"/>
        <w:pageBreakBefore w:val="0"/>
        <w:widowControl/>
        <w:kinsoku/>
        <w:wordWrap/>
        <w:overflowPunct/>
        <w:topLinePunct w:val="0"/>
        <w:autoSpaceDE/>
        <w:autoSpaceDN/>
        <w:bidi w:val="0"/>
        <w:adjustRightInd/>
        <w:snapToGrid/>
        <w:ind w:firstLine="480" w:firstLineChars="200"/>
        <w:textAlignment w:val="auto"/>
      </w:pPr>
      <w:r>
        <w:rPr>
          <w:rFonts w:hint="eastAsia"/>
        </w:rPr>
        <w:t>随着全球气候治理机制的深化，以欧盟碳边境调节机制（CBAM）、海运燃料法案（FuelEU Maritime）为代表的碳管制政策正逐步构建“绿色贸易壁垒”。这些政策不仅对产品生产端提出碳排放要求，更将运输、装卸、仓储等服务环节纳入全生命周期碳足迹核算范围。港口作为国际航运的关键枢纽，其作业过程产生的碳排放已成为出口产品碳成本的重要组成部分。当前，缺乏统一、权威的港口碳足迹核算标准，导致我国港口难以提供国际认可的碳数据，出口企业面临“因港口环节数据缺失而被加征碳税”的风险。因此，建立与国际接轨的核算标准，是帮助外贸企业应对碳关税、保障国际贸易畅通的迫切需求。</w:t>
      </w:r>
    </w:p>
    <w:p w14:paraId="154F3F2E">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2.</w:t>
      </w:r>
      <w:r>
        <w:t>国家碳足迹管理体系加速构建</w:t>
      </w:r>
    </w:p>
    <w:p w14:paraId="1C379590">
      <w:pPr>
        <w:keepNext w:val="0"/>
        <w:keepLines w:val="0"/>
        <w:pageBreakBefore w:val="0"/>
        <w:widowControl/>
        <w:kinsoku/>
        <w:wordWrap/>
        <w:overflowPunct/>
        <w:topLinePunct w:val="0"/>
        <w:autoSpaceDE/>
        <w:autoSpaceDN/>
        <w:bidi w:val="0"/>
        <w:adjustRightInd/>
        <w:snapToGrid/>
        <w:ind w:firstLine="480" w:firstLineChars="200"/>
        <w:textAlignment w:val="auto"/>
      </w:pPr>
      <w:r>
        <w:t>我国正加快构建产品碳足迹管理体系，国家发展改革委、生态环境部等部门相继发布《关于加快建立产品碳足迹管理体系的意见》《关于建立碳足迹管理体系的实施方案》，明确要求“团体标准先行先试，逐步转化为行业或国家标准”，并提出到2027年制定100个左右重点产品碳足迹核算标准。港口作为交通运输行业的重要组成部分，其服务碳足迹是产品全生命周期碳排放的关键一环。编制集装箱、杂货、滚装等重点业态的核算标准，既是落实国家政策部署的具体行动，也是填补行业标准空白、推动绿色港口建设的重要抓手</w:t>
      </w:r>
      <w:r>
        <w:rPr>
          <w:rFonts w:hint="eastAsia" w:ascii="宋体" w:hAnsi="宋体" w:cs="宋体"/>
        </w:rPr>
        <w:t>。</w:t>
      </w:r>
    </w:p>
    <w:p w14:paraId="1FF33218">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3.</w:t>
      </w:r>
      <w:r>
        <w:t>供应链绿色转型催生“自下而上”的核算需求</w:t>
      </w:r>
    </w:p>
    <w:p w14:paraId="4FD5949D">
      <w:pPr>
        <w:keepNext w:val="0"/>
        <w:keepLines w:val="0"/>
        <w:pageBreakBefore w:val="0"/>
        <w:widowControl/>
        <w:kinsoku/>
        <w:wordWrap/>
        <w:overflowPunct/>
        <w:topLinePunct w:val="0"/>
        <w:autoSpaceDE/>
        <w:autoSpaceDN/>
        <w:bidi w:val="0"/>
        <w:adjustRightInd/>
        <w:snapToGrid/>
        <w:ind w:firstLine="480" w:firstLineChars="200"/>
        <w:textAlignment w:val="auto"/>
      </w:pPr>
      <w:r>
        <w:t>全球大型货主企业如沃尔玛、苹果、亚马逊等已将碳中和目标延伸至全供应链，明确要求物流服务商提供可验证的碳排放数据。这种“货主→船公司→港口”的降碳需求传导链，使得碳足迹核算成为港口维系客户合作、进入国际供应链体系的“准入门槛”。船公司为满足国际海事组织（IMO）碳强度指标（CII）和欧盟碳排放交易体系（EU ETS）合规要求，亟需港口提供标准化的船舶在港碳排放数据，以优化船队碳绩效。因此，建立统一核算标准，不仅是企业履行社会责任的体现，更是提升市场竞争力、拓展高端客户资源的现实需要</w:t>
      </w:r>
      <w:r>
        <w:rPr>
          <w:rFonts w:hint="eastAsia" w:ascii="宋体" w:hAnsi="宋体" w:cs="宋体"/>
        </w:rPr>
        <w:t>。</w:t>
      </w:r>
    </w:p>
    <w:p w14:paraId="75F6C252">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4.</w:t>
      </w:r>
      <w:r>
        <w:t>提升港口绿色竞争力与行业话语权</w:t>
      </w:r>
    </w:p>
    <w:p w14:paraId="1689CA4A">
      <w:pPr>
        <w:keepNext w:val="0"/>
        <w:keepLines w:val="0"/>
        <w:pageBreakBefore w:val="0"/>
        <w:widowControl/>
        <w:kinsoku/>
        <w:wordWrap/>
        <w:overflowPunct/>
        <w:topLinePunct w:val="0"/>
        <w:autoSpaceDE/>
        <w:autoSpaceDN/>
        <w:bidi w:val="0"/>
        <w:adjustRightInd/>
        <w:snapToGrid/>
        <w:ind w:firstLine="480" w:firstLineChars="200"/>
        <w:textAlignment w:val="auto"/>
      </w:pPr>
      <w:r>
        <w:t>当前，国际先进港口如鹿特丹港、洛杉矶港等已建立完善的碳足迹核算体系与数据平台，通过提供碳核算、减排建议等增值服务，强化了其在全球航运网络中的核心地位。我国港口虽在设备节能改造、岸电推广等方面取得进展，但尚未形成系统化、标准化的碳核算体系，碳数据的准确性、可比性不足，制约了绿色价值的量化与转化。通过编制本标准，可推动港口从“被动响应”向“主动引领”转变，以碳数据为核心，优化设备调度、能源结构与集疏运体系，打造“绿色港口+绿色供应链”的协同发展模式，提升我国港口在国际绿色规则制定中的话语权</w:t>
      </w:r>
      <w:r>
        <w:rPr>
          <w:rFonts w:hint="eastAsia" w:ascii="宋体" w:hAnsi="宋体" w:cs="宋体"/>
        </w:rPr>
        <w:t>。</w:t>
      </w:r>
    </w:p>
    <w:p w14:paraId="1B5FB9A4">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5.</w:t>
      </w:r>
      <w:r>
        <w:t>推动东北亚绿色航运中心建设的战略选择</w:t>
      </w:r>
    </w:p>
    <w:p w14:paraId="42617DB4">
      <w:pPr>
        <w:keepNext w:val="0"/>
        <w:keepLines w:val="0"/>
        <w:pageBreakBefore w:val="0"/>
        <w:widowControl/>
        <w:kinsoku/>
        <w:wordWrap/>
        <w:overflowPunct/>
        <w:topLinePunct w:val="0"/>
        <w:autoSpaceDE/>
        <w:autoSpaceDN/>
        <w:bidi w:val="0"/>
        <w:adjustRightInd/>
        <w:snapToGrid/>
        <w:ind w:firstLine="480" w:firstLineChars="200"/>
        <w:textAlignment w:val="auto"/>
      </w:pPr>
      <w:r>
        <w:t>以辽港集团为例，作为东北亚国际航运中心的重要支撑，其港口业务覆盖集装箱、商品车滚装、粮食矿石等大宗商品运输，具备典型的区域代表性。通过建立本土化排放因子库、对接国际核算框架（如ISO 14064、GLEC），可为东北地区打造“可测量、可报告、可核查”的碳管理样板，服务东北全面振兴战略。本标准的编制将为类似港口提供可复制、可推广的技术路径，推动区域港口群协同降碳，形成绿色竞争力</w:t>
      </w:r>
      <w:r>
        <w:rPr>
          <w:rFonts w:hint="eastAsia" w:ascii="宋体" w:hAnsi="宋体" w:cs="宋体"/>
        </w:rPr>
        <w:t>。</w:t>
      </w:r>
    </w:p>
    <w:p w14:paraId="00EA9B14">
      <w:r>
        <w:t>综上所述，编制《温室气体 产品碳足迹量化方法和要求 港口货物装卸服务》是应对国际碳壁垒、落实国家“双碳”战略、响应供应链绿色需求、提升港口核心竞争力的必然选择。该标准将为港口企业提供统一的核算方法、数据口径与报告框架，推动碳管理从“粗放”走向“精细”，从“单一环节”走向“全链条协同”，为我国建设绿色、智能、高效的现代化港口体系提供坚实支撑</w:t>
      </w:r>
      <w:r>
        <w:rPr>
          <w:rFonts w:hint="eastAsia" w:ascii="宋体" w:hAnsi="宋体" w:cs="宋体"/>
        </w:rPr>
        <w:t>。</w:t>
      </w:r>
    </w:p>
    <w:p w14:paraId="42BE9D4D">
      <w:pPr>
        <w:pStyle w:val="4"/>
        <w:rPr>
          <w:rFonts w:hint="eastAsia"/>
        </w:rPr>
      </w:pPr>
      <w:r>
        <w:rPr>
          <w:rFonts w:hint="eastAsia"/>
        </w:rPr>
        <w:t>起草过程</w:t>
      </w:r>
    </w:p>
    <w:p w14:paraId="5C86A514">
      <w:r>
        <w:t>为按期完成标准制修订任务，中国船级社质量认证有限公司作为项目承担单位，立即组织相关科研院所、行业协会及港口企业，组建了标准编制工作组，讨论确定了标准的主要内容及分工，制定了标准编制计划。主要工作过程如下：</w:t>
      </w:r>
    </w:p>
    <w:p w14:paraId="5A01BAF6">
      <w:r>
        <w:rPr>
          <w:rFonts w:hint="eastAsia"/>
        </w:rPr>
        <w:t>（1）成立编制组。2026年1月，标准正式立项，</w:t>
      </w:r>
      <w:r>
        <w:t>中国船级社质量认证有限公司正式组建了标准编制组。确立编制工作总体目标，明确各参编</w:t>
      </w:r>
      <w:r>
        <w:rPr>
          <w:rFonts w:hint="eastAsia"/>
        </w:rPr>
        <w:t>人员职</w:t>
      </w:r>
      <w:r>
        <w:t>责分工，并制定了详细的标准编制进度计划。</w:t>
      </w:r>
    </w:p>
    <w:p w14:paraId="36642623">
      <w:r>
        <w:rPr>
          <w:rFonts w:hint="eastAsia"/>
        </w:rPr>
        <w:t>（2）</w:t>
      </w:r>
      <w:r>
        <w:t>标准现状和行业概况调研。2026年</w:t>
      </w:r>
      <w:r>
        <w:rPr>
          <w:rFonts w:hint="eastAsia"/>
        </w:rPr>
        <w:t>1</w:t>
      </w:r>
      <w:r>
        <w:t>月</w:t>
      </w:r>
      <w:r>
        <w:rPr>
          <w:rFonts w:hint="eastAsia"/>
        </w:rPr>
        <w:t>至2月</w:t>
      </w:r>
      <w:r>
        <w:t>，编制组检索、查询和收集了国内外碳足迹的政策法规、标准体系、核算方法以及文献资料，对我国港口集装箱、杂货及滚装业态的运营情况及碳排放现状进行调研。组织召开编制组内部研讨会，初步确定了标准制定思路、技术路线和标准编制大纲。</w:t>
      </w:r>
    </w:p>
    <w:p w14:paraId="6D0495E2">
      <w:r>
        <w:rPr>
          <w:rFonts w:hint="eastAsia"/>
        </w:rPr>
        <w:t>（3）编制草案。2026年3月，编制组系统梳理了港口作业服务及温室气体排放情况，对标准的范围、术语和定义、技术要求等内容进行了充分研究和讨论，确定了标准的适用范围、总体架构、主要内容、核心指标等，在此基础上编制形成了标准草案。</w:t>
      </w:r>
    </w:p>
    <w:p w14:paraId="63F6E78D">
      <w:r>
        <w:rPr>
          <w:rFonts w:hint="eastAsia"/>
        </w:rPr>
        <w:t>（4）企业调研与碳足迹因子研究。2026年2月至4月，编制组先后开展了文献调研和国内外碳足迹因子数据库调研等工作，梳理港口碳足迹核算所需的能源消耗、设备类型、作业流程等因子需求。开展港口企业碳足迹量化应用调研，就活动水平收集、因子选取等内容进行深入交流，并开展企业碳足迹试算工作，验证核算方法的可行性。</w:t>
      </w:r>
    </w:p>
    <w:p w14:paraId="121DEE02">
      <w:r>
        <w:rPr>
          <w:rFonts w:hint="eastAsia"/>
        </w:rPr>
        <w:t>（5）编制征求意见稿及编制说明。2026年4月，编制组多次召开内部讨论会，就标准的主要技术内容等关键问题进行研讨，汇总试算结果与调研反馈，对标准草案进行修订，形成了标准征求意见稿及编制说明。</w:t>
      </w:r>
    </w:p>
    <w:p w14:paraId="57BB610A">
      <w:r>
        <w:rPr>
          <w:rFonts w:hint="eastAsia"/>
        </w:rPr>
        <w:t>（6）召开标准征求意见稿技术审查会。2026年5月，组织召开了标准征求意见稿技术审查会。审查专家组听取了标准主编单位对标准文本和编制说明的汇报，经质询和讨论，一致同意通过该标准征求意见稿技术审查。编制组根据专家意见，对标准进一步修改完善，最终形成目前的《温室气体 产品碳足迹量化方法和要求 港口货物装卸服务》（征求意见稿）及编制说明，提请向社会公开征求意见。</w:t>
      </w:r>
    </w:p>
    <w:p w14:paraId="31E2F4F6">
      <w:pPr>
        <w:pStyle w:val="2"/>
        <w:rPr>
          <w:rFonts w:hint="eastAsia"/>
        </w:rPr>
      </w:pPr>
      <w:bookmarkStart w:id="1" w:name="_Toc228225938"/>
      <w:r>
        <w:rPr>
          <w:rFonts w:hint="eastAsia"/>
        </w:rPr>
        <w:t>编制原则、主要内容及依据</w:t>
      </w:r>
      <w:bookmarkEnd w:id="1"/>
    </w:p>
    <w:p w14:paraId="121DEE9A">
      <w:pPr>
        <w:pStyle w:val="4"/>
        <w:rPr>
          <w:rFonts w:hint="eastAsia"/>
        </w:rPr>
      </w:pPr>
      <w:r>
        <w:rPr>
          <w:rFonts w:hint="eastAsia"/>
        </w:rPr>
        <w:t>编制原则</w:t>
      </w:r>
    </w:p>
    <w:p w14:paraId="34BCFE4F">
      <w:pPr>
        <w:rPr>
          <w:rFonts w:eastAsia="Times New Roman"/>
        </w:rPr>
      </w:pPr>
      <w:r>
        <w:t xml:space="preserve">本标准按照 </w:t>
      </w:r>
      <w:r>
        <w:rPr>
          <w:rFonts w:ascii="TimesNewRomanPSMT" w:hAnsi="TimesNewRomanPSMT" w:eastAsia="Times New Roman"/>
        </w:rPr>
        <w:t>GB/T 1.1</w:t>
      </w:r>
      <w:r>
        <w:rPr>
          <w:rFonts w:ascii="TimesNewRomanPSMT" w:hAnsi="TimesNewRomanPSMT" w:eastAsia="Times New Roman"/>
          <w:sz w:val="20"/>
          <w:szCs w:val="20"/>
        </w:rPr>
        <w:t>—</w:t>
      </w:r>
      <w:r>
        <w:rPr>
          <w:rFonts w:ascii="TimesNewRomanPSMT" w:hAnsi="TimesNewRomanPSMT" w:eastAsia="Times New Roman"/>
        </w:rPr>
        <w:t>2020</w:t>
      </w:r>
      <w:r>
        <w:t>《标准化工作导则 第</w:t>
      </w:r>
      <w:r>
        <w:rPr>
          <w:rFonts w:ascii="TimesNewRomanPSMT" w:hAnsi="TimesNewRomanPSMT" w:eastAsia="Times New Roman"/>
        </w:rPr>
        <w:t>1</w:t>
      </w:r>
      <w:r>
        <w:t>部分</w:t>
      </w:r>
      <w:r>
        <w:rPr>
          <w:rFonts w:hint="eastAsia"/>
        </w:rPr>
        <w:t>：</w:t>
      </w:r>
      <w:r>
        <w:t xml:space="preserve">标准化文件的结构和起草规则》制定统一的标准编写原则，包括团体标准的结构、起草表述方法、格式等内容，以提高团体标准的适用性。本标准的起草过程遵守“科学性、规范性、一致性、协调性、易用性”编写原则。 </w:t>
      </w:r>
    </w:p>
    <w:p w14:paraId="67AF5F65">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w:t>
      </w:r>
      <w:r>
        <w:t xml:space="preserve">科学性 </w:t>
      </w:r>
    </w:p>
    <w:p w14:paraId="4DEBA6F1">
      <w:pPr>
        <w:keepNext w:val="0"/>
        <w:keepLines w:val="0"/>
        <w:pageBreakBefore w:val="0"/>
        <w:widowControl/>
        <w:kinsoku/>
        <w:wordWrap/>
        <w:overflowPunct/>
        <w:topLinePunct w:val="0"/>
        <w:autoSpaceDE/>
        <w:autoSpaceDN/>
        <w:bidi w:val="0"/>
        <w:adjustRightInd/>
        <w:snapToGrid/>
        <w:ind w:firstLine="480" w:firstLineChars="200"/>
        <w:textAlignment w:val="auto"/>
        <w:rPr>
          <w:rFonts w:eastAsia="Times New Roman"/>
        </w:rPr>
      </w:pPr>
      <w:r>
        <w:t xml:space="preserve">本标准在编制的过程中以调研、理论分析为依据，并以现有产品实际运行情况为验证方式，保证标准内容的科学性。 </w:t>
      </w:r>
    </w:p>
    <w:p w14:paraId="6470520D">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2.</w:t>
      </w:r>
      <w:r>
        <w:t xml:space="preserve">规范性 </w:t>
      </w:r>
    </w:p>
    <w:p w14:paraId="4408A925">
      <w:pPr>
        <w:keepNext w:val="0"/>
        <w:keepLines w:val="0"/>
        <w:pageBreakBefore w:val="0"/>
        <w:widowControl/>
        <w:kinsoku/>
        <w:wordWrap/>
        <w:overflowPunct/>
        <w:topLinePunct w:val="0"/>
        <w:autoSpaceDE/>
        <w:autoSpaceDN/>
        <w:bidi w:val="0"/>
        <w:adjustRightInd/>
        <w:snapToGrid/>
        <w:ind w:firstLine="480" w:firstLineChars="200"/>
        <w:textAlignment w:val="auto"/>
        <w:rPr>
          <w:rFonts w:eastAsia="Times New Roman"/>
        </w:rPr>
      </w:pPr>
      <w:r>
        <w:t xml:space="preserve">本标准编写的内容和层次符合 </w:t>
      </w:r>
      <w:r>
        <w:rPr>
          <w:rFonts w:ascii="TimesNewRomanPSMT" w:hAnsi="TimesNewRomanPSMT" w:eastAsia="Times New Roman"/>
        </w:rPr>
        <w:t>GB/T 20001.7—2017</w:t>
      </w:r>
      <w:r>
        <w:t>《标准编写规则 第</w:t>
      </w:r>
      <w:r>
        <w:rPr>
          <w:rFonts w:ascii="TimesNewRomanPSMT" w:hAnsi="TimesNewRomanPSMT" w:eastAsia="Times New Roman"/>
        </w:rPr>
        <w:t>7</w:t>
      </w:r>
      <w:r>
        <w:t>部分</w:t>
      </w:r>
      <w:r>
        <w:rPr>
          <w:rFonts w:hint="eastAsia"/>
        </w:rPr>
        <w:t>：</w:t>
      </w:r>
      <w:r>
        <w:t>指南标准》规定的结构和要素。为提高文件的适用性和应用效率，确保文件的及时完成发布，编制工作从开始到随后的所有阶段的文件均遵守</w:t>
      </w:r>
      <w:r>
        <w:rPr>
          <w:rFonts w:ascii="TimesNewRomanPSMT" w:hAnsi="TimesNewRomanPSMT" w:eastAsia="Times New Roman"/>
        </w:rPr>
        <w:t>GB/T 1.1</w:t>
      </w:r>
      <w:r>
        <w:rPr>
          <w:rFonts w:ascii="TimesNewRomanPSMT" w:hAnsi="TimesNewRomanPSMT" w:eastAsia="Times New Roman"/>
          <w:sz w:val="20"/>
          <w:szCs w:val="20"/>
        </w:rPr>
        <w:t>—</w:t>
      </w:r>
      <w:r>
        <w:rPr>
          <w:rFonts w:ascii="TimesNewRomanPSMT" w:hAnsi="TimesNewRomanPSMT" w:eastAsia="Times New Roman"/>
        </w:rPr>
        <w:t>2020</w:t>
      </w:r>
      <w:r>
        <w:t>和</w:t>
      </w:r>
      <w:r>
        <w:rPr>
          <w:rFonts w:ascii="TimesNewRomanPSMT" w:hAnsi="TimesNewRomanPSMT" w:eastAsia="Times New Roman"/>
        </w:rPr>
        <w:t>GB/T 20001.7—2017</w:t>
      </w:r>
      <w:r>
        <w:t xml:space="preserve">的规定。 </w:t>
      </w:r>
    </w:p>
    <w:p w14:paraId="1B4DC3EA">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3.</w:t>
      </w:r>
      <w:r>
        <w:t xml:space="preserve">一致性 </w:t>
      </w:r>
    </w:p>
    <w:p w14:paraId="1161A8D3">
      <w:pPr>
        <w:keepNext w:val="0"/>
        <w:keepLines w:val="0"/>
        <w:pageBreakBefore w:val="0"/>
        <w:widowControl/>
        <w:kinsoku/>
        <w:wordWrap/>
        <w:overflowPunct/>
        <w:topLinePunct w:val="0"/>
        <w:autoSpaceDE/>
        <w:autoSpaceDN/>
        <w:bidi w:val="0"/>
        <w:adjustRightInd/>
        <w:snapToGrid/>
        <w:ind w:firstLine="480" w:firstLineChars="200"/>
        <w:textAlignment w:val="auto"/>
        <w:rPr>
          <w:rFonts w:eastAsia="Times New Roman"/>
        </w:rPr>
      </w:pPr>
      <w:r>
        <w:t>文件结构及要素的表述应保持一致，相同的条款使用相同的用语，类似的条款使用类似的用语。同一个概念使用同一个术语，避免使用同义词。</w:t>
      </w:r>
    </w:p>
    <w:p w14:paraId="6A965EB2">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4.</w:t>
      </w:r>
      <w:r>
        <w:t>协调性</w:t>
      </w:r>
    </w:p>
    <w:p w14:paraId="25BBCDC6">
      <w:pPr>
        <w:keepNext w:val="0"/>
        <w:keepLines w:val="0"/>
        <w:pageBreakBefore w:val="0"/>
        <w:widowControl/>
        <w:kinsoku/>
        <w:wordWrap/>
        <w:overflowPunct/>
        <w:topLinePunct w:val="0"/>
        <w:autoSpaceDE/>
        <w:autoSpaceDN/>
        <w:bidi w:val="0"/>
        <w:adjustRightInd/>
        <w:snapToGrid/>
        <w:ind w:firstLine="480" w:firstLineChars="200"/>
        <w:textAlignment w:val="auto"/>
        <w:rPr>
          <w:rFonts w:eastAsia="Times New Roman"/>
        </w:rPr>
      </w:pPr>
      <w:r>
        <w:t xml:space="preserve">文件的起草与现行有效文件之间相互协调，遵循建设技术指南的通用规定。需要使用文件自身其他位置的内容或其他文件中的内容时，采取引用或提示的表述形式。 </w:t>
      </w:r>
    </w:p>
    <w:p w14:paraId="30D1E91E">
      <w:pPr>
        <w:pStyle w:val="5"/>
        <w:keepNext w:val="0"/>
        <w:keepLines w:val="0"/>
        <w:pageBreakBefore w:val="0"/>
        <w:widowControl/>
        <w:numPr>
          <w:ilvl w:val="2"/>
          <w:numId w:val="0"/>
        </w:numPr>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5.</w:t>
      </w:r>
      <w:r>
        <w:t>易用性</w:t>
      </w:r>
    </w:p>
    <w:p w14:paraId="7670AF7A">
      <w:pPr>
        <w:rPr>
          <w:rFonts w:eastAsia="Times New Roman"/>
        </w:rPr>
      </w:pPr>
      <w:r>
        <w:t xml:space="preserve">文件内容的表述便于直接应用，并易于被其他文件引用。通过规定清楚、准确和无歧义的条款，使得文件能够被未参加文件编制的专业人员所理解且易于应用。 </w:t>
      </w:r>
    </w:p>
    <w:p w14:paraId="6C59CEBF">
      <w:pPr>
        <w:pStyle w:val="4"/>
        <w:rPr>
          <w:rFonts w:hint="eastAsia"/>
        </w:rPr>
      </w:pPr>
      <w:r>
        <w:rPr>
          <w:rFonts w:hint="eastAsia"/>
        </w:rPr>
        <w:t>标准主要内容及其依据</w:t>
      </w:r>
    </w:p>
    <w:p w14:paraId="40992CB6">
      <w:pPr>
        <w:rPr>
          <w:rFonts w:eastAsia="Times New Roman"/>
        </w:rPr>
      </w:pPr>
      <w:r>
        <w:t>本标准的结构要素依据</w:t>
      </w:r>
      <w:r>
        <w:rPr>
          <w:rFonts w:ascii="TimesNewRomanPSMT" w:hAnsi="TimesNewRomanPSMT" w:eastAsia="Times New Roman"/>
        </w:rPr>
        <w:t>GB/T 1.1—2020</w:t>
      </w:r>
      <w:r>
        <w:t>、</w:t>
      </w:r>
      <w:r>
        <w:rPr>
          <w:rFonts w:ascii="TimesNewRomanPSMT" w:hAnsi="TimesNewRomanPSMT" w:eastAsia="Times New Roman"/>
        </w:rPr>
        <w:t>GB/T 20001.7—2017</w:t>
      </w:r>
      <w:r>
        <w:t>确定，包括</w:t>
      </w:r>
      <w:r>
        <w:rPr>
          <w:rFonts w:hint="eastAsia" w:ascii="TimesNewRomanPSMT" w:hAnsi="TimesNewRomanPSMT" w:eastAsia="Times New Roman"/>
        </w:rPr>
        <w:t>10</w:t>
      </w:r>
      <w:r>
        <w:t>章</w:t>
      </w:r>
      <w:r>
        <w:rPr>
          <w:rFonts w:hint="eastAsia"/>
        </w:rPr>
        <w:t>：</w:t>
      </w:r>
      <w:r>
        <w:t>第</w:t>
      </w:r>
      <w:r>
        <w:rPr>
          <w:rFonts w:ascii="TimesNewRomanPSMT" w:hAnsi="TimesNewRomanPSMT" w:eastAsia="Times New Roman"/>
        </w:rPr>
        <w:t>1</w:t>
      </w:r>
      <w:r>
        <w:t>章范围、第</w:t>
      </w:r>
      <w:r>
        <w:rPr>
          <w:rFonts w:ascii="TimesNewRomanPSMT" w:hAnsi="TimesNewRomanPSMT" w:eastAsia="Times New Roman"/>
        </w:rPr>
        <w:t>2</w:t>
      </w:r>
      <w:r>
        <w:t>章规范性引用文件、第</w:t>
      </w:r>
      <w:r>
        <w:rPr>
          <w:rFonts w:ascii="TimesNewRomanPSMT" w:hAnsi="TimesNewRomanPSMT" w:eastAsia="Times New Roman"/>
        </w:rPr>
        <w:t>3</w:t>
      </w:r>
      <w:r>
        <w:t>章术语和定义、第</w:t>
      </w:r>
      <w:r>
        <w:rPr>
          <w:rFonts w:ascii="TimesNewRomanPSMT" w:hAnsi="TimesNewRomanPSMT" w:eastAsia="Times New Roman"/>
        </w:rPr>
        <w:t>4</w:t>
      </w:r>
      <w:r>
        <w:t>章</w:t>
      </w:r>
      <w:r>
        <w:rPr>
          <w:rFonts w:hint="eastAsia"/>
        </w:rPr>
        <w:t>量化目的</w:t>
      </w:r>
      <w:r>
        <w:t>、第</w:t>
      </w:r>
      <w:r>
        <w:rPr>
          <w:rFonts w:ascii="TimesNewRomanPSMT" w:hAnsi="TimesNewRomanPSMT" w:eastAsia="Times New Roman"/>
        </w:rPr>
        <w:t>5</w:t>
      </w:r>
      <w:r>
        <w:t>章量化</w:t>
      </w:r>
      <w:r>
        <w:rPr>
          <w:rFonts w:hint="eastAsia"/>
        </w:rPr>
        <w:t>范围</w:t>
      </w:r>
      <w:r>
        <w:t>、第</w:t>
      </w:r>
      <w:r>
        <w:rPr>
          <w:rFonts w:ascii="TimesNewRomanPSMT" w:hAnsi="TimesNewRomanPSMT" w:eastAsia="Times New Roman"/>
        </w:rPr>
        <w:t>6</w:t>
      </w:r>
      <w:r>
        <w:t>章</w:t>
      </w:r>
      <w:r>
        <w:rPr>
          <w:rFonts w:hint="eastAsia"/>
        </w:rPr>
        <w:t>清单分析、</w:t>
      </w:r>
      <w:r>
        <w:t>第</w:t>
      </w:r>
      <w:r>
        <w:rPr>
          <w:rFonts w:ascii="TimesNewRomanPSMT" w:hAnsi="TimesNewRomanPSMT" w:eastAsia="Times New Roman"/>
        </w:rPr>
        <w:t>7</w:t>
      </w:r>
      <w:r>
        <w:t>章</w:t>
      </w:r>
      <w:r>
        <w:rPr>
          <w:rFonts w:hint="eastAsia"/>
        </w:rPr>
        <w:t>影响评价</w:t>
      </w:r>
      <w:r>
        <w:t>、第</w:t>
      </w:r>
      <w:r>
        <w:rPr>
          <w:rFonts w:ascii="TimesNewRomanPSMT" w:hAnsi="TimesNewRomanPSMT" w:eastAsia="Times New Roman"/>
        </w:rPr>
        <w:t>8</w:t>
      </w:r>
      <w:r>
        <w:t>章</w:t>
      </w:r>
      <w:r>
        <w:rPr>
          <w:rFonts w:hint="eastAsia"/>
        </w:rPr>
        <w:t>结果解释</w:t>
      </w:r>
      <w:r>
        <w:t>、第</w:t>
      </w:r>
      <w:r>
        <w:rPr>
          <w:rFonts w:ascii="TimesNewRomanPSMT" w:hAnsi="TimesNewRomanPSMT" w:eastAsia="Times New Roman"/>
        </w:rPr>
        <w:t>9</w:t>
      </w:r>
      <w:r>
        <w:t>章</w:t>
      </w:r>
      <w:r>
        <w:rPr>
          <w:rFonts w:hint="eastAsia"/>
        </w:rPr>
        <w:t>碳足迹报告、第10章碳足迹声明</w:t>
      </w:r>
      <w:r>
        <w:t xml:space="preserve">。 </w:t>
      </w:r>
    </w:p>
    <w:p w14:paraId="4F5517C2">
      <w:pPr>
        <w:rPr>
          <w:rFonts w:eastAsia="Times New Roman"/>
        </w:rPr>
      </w:pPr>
      <w:r>
        <w:t>本标准在编制过程中，参考了已经发布的生命周期评价、产品碳足迹、温室气体排放核算等相关标准，如</w:t>
      </w:r>
      <w:r>
        <w:rPr>
          <w:rFonts w:ascii="TimesNewRomanPSMT" w:hAnsi="TimesNewRomanPSMT" w:eastAsia="Times New Roman"/>
        </w:rPr>
        <w:t>GB/T 24040</w:t>
      </w:r>
      <w:r>
        <w:t>《环境管理 生命周期评价原则与框架》，</w:t>
      </w:r>
      <w:r>
        <w:rPr>
          <w:rFonts w:ascii="TimesNewRomanPSMT" w:hAnsi="TimesNewRomanPSMT" w:eastAsia="Times New Roman"/>
        </w:rPr>
        <w:t>GB/T 24044</w:t>
      </w:r>
      <w:r>
        <w:t>《环境管理生命周期评价要求与指南》，</w:t>
      </w:r>
      <w:r>
        <w:rPr>
          <w:rFonts w:ascii="TimesNewRomanPSMT" w:hAnsi="TimesNewRomanPSMT" w:eastAsia="Times New Roman"/>
        </w:rPr>
        <w:t>GB/T 24067</w:t>
      </w:r>
      <w:r>
        <w:t>《温室气体 产品碳足迹量化要求和指南》，</w:t>
      </w:r>
      <w:r>
        <w:rPr>
          <w:rFonts w:ascii="TimesNewRomanPSMT" w:hAnsi="TimesNewRomanPSMT" w:eastAsia="Times New Roman"/>
        </w:rPr>
        <w:t>GB/T 32150</w:t>
      </w:r>
      <w:r>
        <w:t>《工业企业温室气体排放核算和报告通则》，《</w:t>
      </w:r>
      <w:r>
        <w:rPr>
          <w:rFonts w:ascii="TimesNewRomanPSMT" w:hAnsi="TimesNewRomanPSMT" w:eastAsia="Times New Roman"/>
        </w:rPr>
        <w:t>2006</w:t>
      </w:r>
      <w:r>
        <w:t>年</w:t>
      </w:r>
      <w:r>
        <w:rPr>
          <w:rFonts w:ascii="TimesNewRomanPSMT" w:hAnsi="TimesNewRomanPSMT" w:eastAsia="Times New Roman"/>
        </w:rPr>
        <w:t>IPCC</w:t>
      </w:r>
      <w:r>
        <w:t>国家温室气体清单指南》</w:t>
      </w:r>
      <w:r>
        <w:rPr>
          <w:rFonts w:hint="eastAsia"/>
        </w:rPr>
        <w:t>（</w:t>
      </w:r>
      <w:r>
        <w:rPr>
          <w:rFonts w:ascii="TimesNewRomanPSMT" w:hAnsi="TimesNewRomanPSMT" w:eastAsia="Times New Roman"/>
        </w:rPr>
        <w:t>2019</w:t>
      </w:r>
      <w:r>
        <w:t>年修订版</w:t>
      </w:r>
      <w:r>
        <w:rPr>
          <w:rFonts w:hint="eastAsia" w:ascii="宋体" w:hAnsi="宋体" w:cs="宋体"/>
        </w:rPr>
        <w:t>，</w:t>
      </w:r>
      <w:r>
        <w:t>政府间气候变化专门委员会</w:t>
      </w:r>
      <w:r>
        <w:rPr>
          <w:rFonts w:ascii="TimesNewRomanPSMT" w:hAnsi="TimesNewRomanPSMT" w:eastAsia="Times New Roman"/>
        </w:rPr>
        <w:t>IPCC</w:t>
      </w:r>
      <w:r>
        <w:rPr>
          <w:rFonts w:hint="eastAsia"/>
        </w:rPr>
        <w:t>）</w:t>
      </w:r>
      <w:r>
        <w:t>中有</w:t>
      </w:r>
      <w:r>
        <w:rPr>
          <w:rFonts w:hint="eastAsia"/>
        </w:rPr>
        <w:t>关</w:t>
      </w:r>
      <w:r>
        <w:t>生命周期评价、产品碳足迹量化要求和温室气体排放核算方法，本标准也侧重于对港口</w:t>
      </w:r>
      <w:r>
        <w:rPr>
          <w:rFonts w:hint="eastAsia"/>
        </w:rPr>
        <w:t>货物（</w:t>
      </w:r>
      <w:r>
        <w:t>集装箱</w:t>
      </w:r>
      <w:r>
        <w:rPr>
          <w:rFonts w:hint="eastAsia"/>
        </w:rPr>
        <w:t>、杂货、滚装货物）</w:t>
      </w:r>
      <w:r>
        <w:t xml:space="preserve">在港作业碳足迹量化提出要求。 </w:t>
      </w:r>
    </w:p>
    <w:p w14:paraId="0E7D5EEC">
      <w:pPr>
        <w:rPr>
          <w:rFonts w:eastAsia="Times New Roman"/>
        </w:rPr>
      </w:pPr>
      <w:r>
        <w:t xml:space="preserve">各章详细情况说明如下。 </w:t>
      </w:r>
    </w:p>
    <w:p w14:paraId="35108F4E">
      <w:pPr>
        <w:rPr>
          <w:rFonts w:hint="eastAsia" w:ascii="黑体" w:hAnsi="黑体" w:eastAsia="黑体"/>
        </w:rPr>
      </w:pPr>
      <w:r>
        <w:rPr>
          <w:rFonts w:ascii="黑体" w:hAnsi="黑体" w:eastAsia="黑体"/>
        </w:rPr>
        <w:t xml:space="preserve">第1章 范围 </w:t>
      </w:r>
    </w:p>
    <w:p w14:paraId="57567708">
      <w:pPr>
        <w:rPr>
          <w:rFonts w:eastAsia="Times New Roman"/>
        </w:rPr>
      </w:pPr>
      <w:r>
        <w:rPr>
          <w:rFonts w:ascii="宋体" w:hAnsi="宋体"/>
        </w:rPr>
        <w:t xml:space="preserve">规定本标准的主要内容和适用范围，港口货物（集装箱、杂货、滚装货物）装卸服务期间产生的碳足迹量化。 </w:t>
      </w:r>
    </w:p>
    <w:p w14:paraId="2B2143A0">
      <w:pPr>
        <w:rPr>
          <w:rFonts w:eastAsia="Times New Roman"/>
        </w:rPr>
      </w:pPr>
      <w:r>
        <w:rPr>
          <w:rFonts w:ascii="宋体" w:hAnsi="宋体"/>
        </w:rPr>
        <w:t>需要说明的是，本标准不适用于制造集装箱</w:t>
      </w:r>
      <w:r>
        <w:rPr>
          <w:rFonts w:hint="eastAsia" w:ascii="宋体" w:hAnsi="宋体"/>
        </w:rPr>
        <w:t>、杂货、滚装设备</w:t>
      </w:r>
      <w:r>
        <w:rPr>
          <w:rFonts w:ascii="宋体" w:hAnsi="宋体"/>
        </w:rPr>
        <w:t>产生的碳排放，以及不适用于装卸集装箱</w:t>
      </w:r>
      <w:r>
        <w:rPr>
          <w:rFonts w:hint="eastAsia" w:ascii="宋体" w:hAnsi="宋体"/>
        </w:rPr>
        <w:t>、</w:t>
      </w:r>
      <w:r>
        <w:rPr>
          <w:rFonts w:ascii="宋体" w:hAnsi="宋体"/>
        </w:rPr>
        <w:t>杂货</w:t>
      </w:r>
      <w:r>
        <w:rPr>
          <w:rFonts w:hint="eastAsia" w:ascii="宋体" w:hAnsi="宋体"/>
        </w:rPr>
        <w:t>、</w:t>
      </w:r>
      <w:r>
        <w:rPr>
          <w:rFonts w:ascii="宋体" w:hAnsi="宋体"/>
        </w:rPr>
        <w:t>滚装</w:t>
      </w:r>
      <w:r>
        <w:rPr>
          <w:rFonts w:hint="eastAsia" w:ascii="宋体" w:hAnsi="宋体"/>
        </w:rPr>
        <w:t>货物</w:t>
      </w:r>
      <w:r>
        <w:rPr>
          <w:rFonts w:ascii="宋体" w:hAnsi="宋体"/>
        </w:rPr>
        <w:t>的港口设备制造和报废等过程的碳排放量化。</w:t>
      </w:r>
    </w:p>
    <w:p w14:paraId="434E59D3">
      <w:pPr>
        <w:rPr>
          <w:rFonts w:hint="eastAsia" w:ascii="黑体" w:hAnsi="黑体" w:eastAsia="黑体"/>
        </w:rPr>
      </w:pPr>
      <w:r>
        <w:rPr>
          <w:rFonts w:ascii="黑体" w:hAnsi="黑体" w:eastAsia="黑体"/>
        </w:rPr>
        <w:t>第2章</w:t>
      </w:r>
      <w:r>
        <w:rPr>
          <w:rFonts w:hint="eastAsia" w:ascii="黑体" w:hAnsi="黑体" w:eastAsia="黑体"/>
        </w:rPr>
        <w:t xml:space="preserve"> </w:t>
      </w:r>
      <w:r>
        <w:rPr>
          <w:rFonts w:ascii="黑体" w:hAnsi="黑体" w:eastAsia="黑体"/>
        </w:rPr>
        <w:t>规范性引用文件</w:t>
      </w:r>
    </w:p>
    <w:p w14:paraId="7CA11F82">
      <w:r>
        <w:t>明确了本标准的引用文件。主要是碳足迹量化、温室气体排放核算相关的国家、行业标准。共有</w:t>
      </w:r>
      <w:r>
        <w:rPr>
          <w:rFonts w:hint="eastAsia"/>
        </w:rPr>
        <w:t>4</w:t>
      </w:r>
      <w:r>
        <w:t>个规范性引用文件。</w:t>
      </w:r>
    </w:p>
    <w:p w14:paraId="248FE18C">
      <w:pPr>
        <w:rPr>
          <w:rFonts w:hint="eastAsia" w:ascii="黑体" w:hAnsi="黑体" w:eastAsia="黑体"/>
        </w:rPr>
      </w:pPr>
      <w:r>
        <w:rPr>
          <w:rFonts w:ascii="黑体" w:hAnsi="黑体" w:eastAsia="黑体"/>
        </w:rPr>
        <w:t>第3章</w:t>
      </w:r>
      <w:r>
        <w:rPr>
          <w:rFonts w:hint="eastAsia" w:ascii="黑体" w:hAnsi="黑体" w:eastAsia="黑体"/>
        </w:rPr>
        <w:t xml:space="preserve"> </w:t>
      </w:r>
      <w:r>
        <w:rPr>
          <w:rFonts w:ascii="黑体" w:hAnsi="黑体" w:eastAsia="黑体"/>
        </w:rPr>
        <w:t>术语和定义</w:t>
      </w:r>
    </w:p>
    <w:p w14:paraId="03DD8F6D">
      <w:r>
        <w:rPr>
          <w:rFonts w:hint="eastAsia"/>
        </w:rPr>
        <w:t>本文件术语和定义的主要依据GB/T 24067、GB/T 32150中的相关术语和定义。</w:t>
      </w:r>
    </w:p>
    <w:p w14:paraId="0540D826">
      <w:r>
        <w:rPr>
          <w:rFonts w:hint="eastAsia"/>
        </w:rPr>
        <w:t>3.1为明确本标准碳足迹量化范围，对温室气体进行了定义。主要参照GB/T 32150—2025中温室气体定义。</w:t>
      </w:r>
    </w:p>
    <w:p w14:paraId="6908E937">
      <w:r>
        <w:rPr>
          <w:rFonts w:hint="eastAsia"/>
        </w:rPr>
        <w:t>3.2为明确不同温室气体的转化关系，对二氧化碳当量进行了定义。主要参照GB/T 32150—2025中二氧化碳当量的定义。</w:t>
      </w:r>
    </w:p>
    <w:p w14:paraId="07E489A5">
      <w:r>
        <w:rPr>
          <w:rFonts w:hint="eastAsia"/>
        </w:rPr>
        <w:t>3.3对全球变暖潜势进行了定义。主要参照GB/T 32150—2025中全球变暖潜势的定义。</w:t>
      </w:r>
    </w:p>
    <w:p w14:paraId="4DAFCFE8">
      <w:r>
        <w:rPr>
          <w:rFonts w:hint="eastAsia"/>
        </w:rPr>
        <w:t>3.4对活动数据进行了定义。主要参照GB/T 32150—2025中活动数据的定义，并进行了备注。</w:t>
      </w:r>
    </w:p>
    <w:p w14:paraId="668EEB4F">
      <w:r>
        <w:rPr>
          <w:rFonts w:hint="eastAsia"/>
        </w:rPr>
        <w:t>3.5对</w:t>
      </w:r>
      <w:r>
        <w:t>排放因子</w:t>
      </w:r>
      <w:r>
        <w:rPr>
          <w:rFonts w:hint="eastAsia"/>
        </w:rPr>
        <w:t>进行了定义。主要参照GB/T 32150—2025中</w:t>
      </w:r>
      <w:r>
        <w:t>排放因子</w:t>
      </w:r>
      <w:r>
        <w:rPr>
          <w:rFonts w:hint="eastAsia"/>
        </w:rPr>
        <w:t>的定义。</w:t>
      </w:r>
    </w:p>
    <w:p w14:paraId="4C5EA3B5">
      <w:r>
        <w:rPr>
          <w:rFonts w:hint="eastAsia"/>
        </w:rPr>
        <w:t>3.6对系统边界进行了定义。主要参照GB/T 24067—2024中系统边界的定义。</w:t>
      </w:r>
    </w:p>
    <w:p w14:paraId="65BB31F1">
      <w:r>
        <w:rPr>
          <w:rFonts w:hint="eastAsia"/>
        </w:rPr>
        <w:t>3.7对功能单位进行了定义。主要参照GB/T 24067—2024中功能单位的定义。</w:t>
      </w:r>
    </w:p>
    <w:p w14:paraId="36885E1D">
      <w:pPr>
        <w:rPr>
          <w:rFonts w:hint="eastAsia" w:ascii="黑体" w:hAnsi="黑体" w:eastAsia="黑体"/>
        </w:rPr>
      </w:pPr>
      <w:r>
        <w:rPr>
          <w:rFonts w:ascii="黑体" w:hAnsi="黑体" w:eastAsia="黑体"/>
        </w:rPr>
        <w:t>第4章</w:t>
      </w:r>
      <w:r>
        <w:rPr>
          <w:rFonts w:hint="eastAsia" w:ascii="黑体" w:hAnsi="黑体" w:eastAsia="黑体"/>
        </w:rPr>
        <w:t xml:space="preserve"> 量化目的</w:t>
      </w:r>
    </w:p>
    <w:p w14:paraId="70CEAA2E">
      <w:r>
        <w:t>对碳足迹量化目的进行规定，包括评价</w:t>
      </w:r>
      <w:r>
        <w:rPr>
          <w:rFonts w:hint="eastAsia"/>
        </w:rPr>
        <w:t>港口货物（集装箱、杂货、滚装货物）装卸服务</w:t>
      </w:r>
      <w:r>
        <w:t>生命周期内相关活动导致的温室气体排放</w:t>
      </w:r>
      <w:r>
        <w:rPr>
          <w:rFonts w:hint="eastAsia"/>
        </w:rPr>
        <w:t>；计算港口货物（集装箱、杂货、滚装货物）装卸服务对全球变暖的潜在贡献。</w:t>
      </w:r>
      <w:r>
        <w:t>主要参照GB/T 24067等碳足迹相关标准的表述。</w:t>
      </w:r>
    </w:p>
    <w:p w14:paraId="5A199AB8">
      <w:pPr>
        <w:rPr>
          <w:rFonts w:hint="eastAsia" w:ascii="黑体" w:hAnsi="黑体" w:eastAsia="黑体"/>
        </w:rPr>
      </w:pPr>
      <w:r>
        <w:rPr>
          <w:rFonts w:ascii="黑体" w:hAnsi="黑体" w:eastAsia="黑体"/>
        </w:rPr>
        <w:t>第5章</w:t>
      </w:r>
      <w:r>
        <w:rPr>
          <w:rFonts w:hint="eastAsia" w:ascii="黑体" w:hAnsi="黑体" w:eastAsia="黑体"/>
        </w:rPr>
        <w:t xml:space="preserve"> </w:t>
      </w:r>
      <w:r>
        <w:rPr>
          <w:rFonts w:ascii="黑体" w:hAnsi="黑体" w:eastAsia="黑体"/>
        </w:rPr>
        <w:t>量化</w:t>
      </w:r>
      <w:r>
        <w:rPr>
          <w:rFonts w:hint="eastAsia" w:ascii="黑体" w:hAnsi="黑体" w:eastAsia="黑体"/>
        </w:rPr>
        <w:t>范围</w:t>
      </w:r>
    </w:p>
    <w:p w14:paraId="5DDF7505">
      <w:r>
        <w:t>明确了本标准的碳足迹量化的范围，并符合GB/T 24067等标准要求，</w:t>
      </w:r>
      <w:r>
        <w:rPr>
          <w:rFonts w:hint="eastAsia"/>
        </w:rPr>
        <w:t>包括：</w:t>
      </w:r>
      <w:r>
        <w:t>功能单位</w:t>
      </w:r>
      <w:r>
        <w:rPr>
          <w:rFonts w:hint="eastAsia"/>
        </w:rPr>
        <w:t>、系统边界、时间边界、取舍准则。</w:t>
      </w:r>
    </w:p>
    <w:p w14:paraId="6DA04531">
      <w:r>
        <w:rPr>
          <w:rFonts w:hint="eastAsia"/>
        </w:rPr>
        <w:t>5.1</w:t>
      </w:r>
      <w:r>
        <w:t>按照碳足迹标准的惯例，规定了功能单位，功能单位宜为</w:t>
      </w:r>
      <w:r>
        <w:rPr>
          <w:rFonts w:hint="eastAsia"/>
        </w:rPr>
        <w:t>“港口为1吨集装箱/杂货/滚装货物提供一次装卸服务”。</w:t>
      </w:r>
    </w:p>
    <w:p w14:paraId="439329B8">
      <w:r>
        <w:rPr>
          <w:rFonts w:hint="eastAsia"/>
        </w:rPr>
        <w:t>5.2</w:t>
      </w:r>
      <w:r>
        <w:t>规定了系统边界，系统边界见图1。主要参照GB/T 24067等标准的相关要求。港口货物（集装箱、杂货、滚装货物）装卸服务碳足迹量化各生命周期阶段系统边界</w:t>
      </w:r>
      <w:r>
        <w:rPr>
          <w:rFonts w:hint="eastAsia"/>
        </w:rPr>
        <w:t>包括：</w:t>
      </w:r>
      <w:r>
        <w:t>为</w:t>
      </w:r>
      <w:r>
        <w:rPr>
          <w:rFonts w:hint="eastAsia"/>
        </w:rPr>
        <w:t>原材料获取阶段和生产阶段。给出了两</w:t>
      </w:r>
      <w:r>
        <w:t>个阶段的具体包括内容。</w:t>
      </w:r>
    </w:p>
    <w:p w14:paraId="53FDE2ED"/>
    <w:p w14:paraId="60446FA3">
      <w:pPr>
        <w:ind w:firstLine="0" w:firstLineChars="0"/>
      </w:pPr>
      <w:r>
        <w:drawing>
          <wp:inline distT="0" distB="0" distL="0" distR="0">
            <wp:extent cx="5274310" cy="2782570"/>
            <wp:effectExtent l="0" t="0" r="2540" b="0"/>
            <wp:docPr id="2893538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53864" name="图片 1"/>
                    <pic:cNvPicPr>
                      <a:picLocks noChangeAspect="1"/>
                    </pic:cNvPicPr>
                  </pic:nvPicPr>
                  <pic:blipFill>
                    <a:blip r:embed="rId9"/>
                    <a:stretch>
                      <a:fillRect/>
                    </a:stretch>
                  </pic:blipFill>
                  <pic:spPr>
                    <a:xfrm>
                      <a:off x="0" y="0"/>
                      <a:ext cx="5274310" cy="2782570"/>
                    </a:xfrm>
                    <a:prstGeom prst="rect">
                      <a:avLst/>
                    </a:prstGeom>
                  </pic:spPr>
                </pic:pic>
              </a:graphicData>
            </a:graphic>
          </wp:inline>
        </w:drawing>
      </w:r>
    </w:p>
    <w:p w14:paraId="3C7BB6E7">
      <w:pPr>
        <w:pStyle w:val="13"/>
        <w:rPr>
          <w:rFonts w:hint="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w:t>
      </w:r>
      <w:r>
        <w:fldChar w:fldCharType="end"/>
      </w:r>
      <w:r>
        <w:rPr>
          <w:rFonts w:hint="eastAsia"/>
        </w:rPr>
        <w:t>港口货物（集装箱、杂货、滚装货物）装卸服务系统边界示意图</w:t>
      </w:r>
    </w:p>
    <w:p w14:paraId="5086C53D">
      <w:pPr>
        <w:rPr>
          <w:lang w:val="en-US"/>
        </w:rPr>
      </w:pPr>
      <w:r>
        <w:rPr>
          <w:rFonts w:hint="eastAsia"/>
          <w:lang w:val="en-US"/>
        </w:rPr>
        <w:t>5.2.1明确了原辅料获取阶段边界范围，包括</w:t>
      </w:r>
      <w:r>
        <w:rPr>
          <w:rFonts w:hint="eastAsia"/>
        </w:rPr>
        <w:t>原辅材料和能源的获取、生产和运输等环节</w:t>
      </w:r>
      <w:r>
        <w:rPr>
          <w:rFonts w:hint="eastAsia"/>
          <w:lang w:val="en-US"/>
        </w:rPr>
        <w:t>过程排放。</w:t>
      </w:r>
    </w:p>
    <w:p w14:paraId="7323C5FA">
      <w:pPr>
        <w:rPr>
          <w:lang w:val="en-US"/>
        </w:rPr>
      </w:pPr>
      <w:r>
        <w:rPr>
          <w:rFonts w:hint="eastAsia"/>
          <w:lang w:val="en-US"/>
        </w:rPr>
        <w:t>5.2.2明确了生产阶段边界范围，包括装卸生产和辅助生产过程的间接排放和直接排放。</w:t>
      </w:r>
    </w:p>
    <w:p w14:paraId="7B8A8B06">
      <w:r>
        <w:rPr>
          <w:rFonts w:hint="eastAsia"/>
          <w:lang w:val="en-US"/>
        </w:rPr>
        <w:t>5.3规定了</w:t>
      </w:r>
      <w:r>
        <w:rPr>
          <w:lang w:val="en-US"/>
        </w:rPr>
        <w:t>时间</w:t>
      </w:r>
      <w:r>
        <w:rPr>
          <w:rFonts w:hint="eastAsia"/>
          <w:lang w:val="en-US"/>
        </w:rPr>
        <w:t>边界</w:t>
      </w:r>
      <w:r>
        <w:rPr>
          <w:lang w:val="en-US"/>
        </w:rPr>
        <w:t>，并给出了推荐的时间范围</w:t>
      </w:r>
      <w:r>
        <w:rPr>
          <w:rFonts w:hint="eastAsia"/>
          <w:lang w:val="en-US"/>
        </w:rPr>
        <w:t>：</w:t>
      </w:r>
      <w:r>
        <w:rPr>
          <w:rFonts w:hint="eastAsia"/>
        </w:rPr>
        <w:t>港口宜实时采集温室气体排放源活动数据进行单位装卸服务碳足迹量化，核算期为集装箱/杂货/滚装货物在港时间。不具备实时获取温室气体排放源活动数据条件的港口宜选择有代表性的时间段，核算期宜为一年，通过年度活动数据统计，并根据吞吐量进行单位装卸服务碳足迹量化。</w:t>
      </w:r>
    </w:p>
    <w:p w14:paraId="4B8100D1">
      <w:r>
        <w:rPr>
          <w:rFonts w:hint="eastAsia"/>
        </w:rPr>
        <w:t>5.4</w:t>
      </w:r>
      <w:r>
        <w:t>根据GB/T 24067的相关建议，规定了港口货物（集装箱、杂货、滚装货物）装卸服务碳足迹量化系统边界取舍原则。</w:t>
      </w:r>
    </w:p>
    <w:p w14:paraId="15CEEE93">
      <w:pPr>
        <w:rPr>
          <w:rFonts w:hint="eastAsia" w:ascii="黑体" w:hAnsi="黑体" w:eastAsia="黑体"/>
        </w:rPr>
      </w:pPr>
      <w:r>
        <w:rPr>
          <w:rFonts w:ascii="黑体" w:hAnsi="黑体" w:eastAsia="黑体"/>
        </w:rPr>
        <w:t>第6章</w:t>
      </w:r>
      <w:r>
        <w:rPr>
          <w:rFonts w:hint="eastAsia" w:ascii="黑体" w:hAnsi="黑体" w:eastAsia="黑体"/>
        </w:rPr>
        <w:t xml:space="preserve"> 清单分析</w:t>
      </w:r>
    </w:p>
    <w:p w14:paraId="2C6A4536">
      <w:r>
        <w:t>主要参照GB/T 24067</w:t>
      </w:r>
      <w:r>
        <w:rPr>
          <w:rFonts w:hint="eastAsia"/>
        </w:rPr>
        <w:t>、</w:t>
      </w:r>
      <w:r>
        <w:t>GB/T 32150等标准的相关建议。</w:t>
      </w:r>
    </w:p>
    <w:p w14:paraId="58FFD619">
      <w:r>
        <w:rPr>
          <w:rFonts w:hint="eastAsia"/>
        </w:rPr>
        <w:t>6.1对数据选择进行规定。</w:t>
      </w:r>
      <w:r>
        <w:t>明确了数据收集的范围应覆盖港口集装箱、杂货及滚装装卸服务系统边界内的全部单元过程，包括活动数据和排放因子数据。明确了活动数据的来源（如计量记录、购买凭证、物料清单等）及计量器具的合规性要求，并确立了优先使用直接计量的初级数据、其次使用折算数据的原则。同时，明确了排放因子数据的来源类型，并规定了其使用的优先级顺序：优先采用供应商提供的经第三方验证的产品碳足迹数据，其次采用国家或行业主管部门发布的数据，最后选用公开可获取的行业或数据库平均数据。</w:t>
      </w:r>
    </w:p>
    <w:p w14:paraId="2C8D628D">
      <w:r>
        <w:rPr>
          <w:rFonts w:hint="eastAsia"/>
        </w:rPr>
        <w:t>6.2对数据收集方法进行规定。</w:t>
      </w:r>
    </w:p>
    <w:p w14:paraId="28516DF9">
      <w:r>
        <w:rPr>
          <w:rFonts w:hint="eastAsia"/>
        </w:rPr>
        <w:t>6.2.1</w:t>
      </w:r>
      <w:r>
        <w:t>明确了原辅材料获取阶段一次性耗材和设备更换零部件等原辅材料、柴油和汽油等化石燃料活动数据</w:t>
      </w:r>
      <w:r>
        <w:rPr>
          <w:rFonts w:hint="eastAsia"/>
        </w:rPr>
        <w:t>和排放因子收集方法</w:t>
      </w:r>
      <w:r>
        <w:t>方法</w:t>
      </w:r>
      <w:r>
        <w:rPr>
          <w:rFonts w:hint="eastAsia"/>
        </w:rPr>
        <w:t>；6.2.2</w:t>
      </w:r>
      <w:r>
        <w:t>明确了生产阶段化石燃料、电力、热力</w:t>
      </w:r>
      <w:r>
        <w:rPr>
          <w:rFonts w:hint="eastAsia"/>
        </w:rPr>
        <w:t>、</w:t>
      </w:r>
      <w:r>
        <w:t>逸散型排放源</w:t>
      </w:r>
      <w:r>
        <w:rPr>
          <w:rFonts w:hint="eastAsia"/>
        </w:rPr>
        <w:t>、生产废水、一般固体废弃物和危险废弃物的</w:t>
      </w:r>
      <w:r>
        <w:t>活动数据</w:t>
      </w:r>
      <w:r>
        <w:rPr>
          <w:rFonts w:hint="eastAsia"/>
        </w:rPr>
        <w:t>和排放因子</w:t>
      </w:r>
      <w:r>
        <w:t>收集方法</w:t>
      </w:r>
      <w:r>
        <w:rPr>
          <w:rFonts w:hint="eastAsia"/>
        </w:rPr>
        <w:t>。</w:t>
      </w:r>
    </w:p>
    <w:p w14:paraId="54311B8F">
      <w:r>
        <w:rPr>
          <w:rFonts w:hint="eastAsia"/>
        </w:rPr>
        <w:t>6.3对数据分配进行规定。</w:t>
      </w:r>
    </w:p>
    <w:p w14:paraId="3DC8F7E1">
      <w:r>
        <w:rPr>
          <w:rFonts w:hint="eastAsia"/>
        </w:rPr>
        <w:t>6.3.1明确数据分配原则。规定应依据 GB/T 24067—2024 相关要求，遵循分配前后输入输出总量守恒的原则，并鼓励进行敏感性分析以评估不同分配程序的影响。</w:t>
      </w:r>
    </w:p>
    <w:p w14:paraId="3A10F7EC">
      <w:r>
        <w:rPr>
          <w:rFonts w:hint="eastAsia"/>
        </w:rPr>
        <w:t>6.3.2 明确数据分配程序。确立了“尽量避免分配，优先基于物理关系，其次考虑经济价值”的总体逻辑。具体规定了针对多批次对象服务的同一单元过程、公共设施能源消耗以及废水和废弃物处理过程的分配方法，明确原则上应采用服务对象的产量（如货物重量）作为分配依据，以确保量化结果的公平性与可追溯性。</w:t>
      </w:r>
    </w:p>
    <w:p w14:paraId="72815EAD">
      <w:r>
        <w:rPr>
          <w:rFonts w:hint="eastAsia"/>
        </w:rPr>
        <w:t>6.4对数据质量评价进行规定。</w:t>
      </w:r>
      <w:r>
        <w:t>明确了碳足迹量化中数据质量的评价维度与分类要求。规定应采用数据可靠性、时间代表性、地理代表性和技术代表性四项指标对数据质量进行系统评价。其中，数据可靠性和时间代表性专门用于评价活动数据；而技术代表性、地理代表性和时间代表性则用于评价排放因子数据，以确保量化基础数据的准确性与适用性。同时，明确了数据质量评价的具体方法可参考标准附录D。</w:t>
      </w:r>
    </w:p>
    <w:p w14:paraId="14A96245">
      <w:pPr>
        <w:rPr>
          <w:rFonts w:hint="eastAsia" w:ascii="黑体" w:hAnsi="黑体" w:eastAsia="黑体"/>
        </w:rPr>
      </w:pPr>
      <w:r>
        <w:rPr>
          <w:rFonts w:ascii="黑体" w:hAnsi="黑体" w:eastAsia="黑体"/>
        </w:rPr>
        <w:t>第7章</w:t>
      </w:r>
      <w:r>
        <w:rPr>
          <w:rFonts w:hint="eastAsia" w:ascii="黑体" w:hAnsi="黑体" w:eastAsia="黑体"/>
        </w:rPr>
        <w:t xml:space="preserve"> 影响评价</w:t>
      </w:r>
    </w:p>
    <w:p w14:paraId="5A2C5358">
      <w:r>
        <w:t>主要参照GB/T 24067</w:t>
      </w:r>
      <w:r>
        <w:rPr>
          <w:rFonts w:hint="eastAsia"/>
        </w:rPr>
        <w:t>、</w:t>
      </w:r>
      <w:r>
        <w:t>GB/T 32150等标准和指南的相关要求。</w:t>
      </w:r>
    </w:p>
    <w:p w14:paraId="5E830300">
      <w:r>
        <w:rPr>
          <w:rFonts w:hint="eastAsia"/>
        </w:rPr>
        <w:t>7.1明确了港口货物（集装箱、杂货、滚装货物）装卸服务碳足迹计算公式，指出港口货物（集装箱、杂货、滚装货物）装卸服务碳足迹由功能单位边界内各阶段碳足迹组成，包括原材料获取阶段和生产阶段。明确各阶段碳足迹为各阶段温室气体排放分配至单位吞吐量服务。</w:t>
      </w:r>
    </w:p>
    <w:p w14:paraId="05A828CA">
      <w:r>
        <w:rPr>
          <w:rFonts w:hint="eastAsia"/>
        </w:rPr>
        <w:t>7.2明确</w:t>
      </w:r>
      <w:r>
        <w:t>原材料获取阶段的温室气体排放</w:t>
      </w:r>
      <w:r>
        <w:rPr>
          <w:rFonts w:hint="eastAsia"/>
        </w:rPr>
        <w:t>由原辅材料获取和生产产生的温室气体排放量和原辅材料运输产生的温室气体排放量组成。</w:t>
      </w:r>
    </w:p>
    <w:p w14:paraId="50ECCD1B">
      <w:r>
        <w:rPr>
          <w:rFonts w:hint="eastAsia"/>
        </w:rPr>
        <w:t>7.2.1给出原辅材料获取的温室气体排放计算方法。</w:t>
      </w:r>
    </w:p>
    <w:p w14:paraId="6DEAF991">
      <w:r>
        <w:rPr>
          <w:rFonts w:hint="eastAsia"/>
        </w:rPr>
        <w:t>7.2.2给出原辅材料运输的温室气体排放计算方法。</w:t>
      </w:r>
    </w:p>
    <w:p w14:paraId="3510F23D">
      <w:r>
        <w:rPr>
          <w:rFonts w:hint="eastAsia"/>
        </w:rPr>
        <w:t>7.3明确生产阶段的温室气体排放由</w:t>
      </w:r>
      <w:r>
        <w:t>使用化石燃料</w:t>
      </w:r>
      <w:r>
        <w:rPr>
          <w:rFonts w:hint="eastAsia"/>
        </w:rPr>
        <w:t>产生</w:t>
      </w:r>
      <w:r>
        <w:t>的温室气体排放量</w:t>
      </w:r>
      <w:r>
        <w:rPr>
          <w:rFonts w:hint="eastAsia"/>
        </w:rPr>
        <w:t>、</w:t>
      </w:r>
      <w:r>
        <w:t>使用电力</w:t>
      </w:r>
      <w:r>
        <w:rPr>
          <w:rFonts w:hint="eastAsia"/>
        </w:rPr>
        <w:t>产生</w:t>
      </w:r>
      <w:r>
        <w:t>的温室气体排放量</w:t>
      </w:r>
      <w:r>
        <w:rPr>
          <w:rFonts w:hint="eastAsia"/>
        </w:rPr>
        <w:t>、</w:t>
      </w:r>
      <w:r>
        <w:t>使用热力</w:t>
      </w:r>
      <w:r>
        <w:rPr>
          <w:rFonts w:hint="eastAsia"/>
        </w:rPr>
        <w:t>产生</w:t>
      </w:r>
      <w:r>
        <w:t>的温室气体排放量</w:t>
      </w:r>
      <w:r>
        <w:rPr>
          <w:rFonts w:hint="eastAsia"/>
        </w:rPr>
        <w:t>、</w:t>
      </w:r>
      <w:r>
        <w:t>逸散源产生的温室气体排放量</w:t>
      </w:r>
      <w:r>
        <w:rPr>
          <w:rFonts w:hint="eastAsia"/>
        </w:rPr>
        <w:t>及废弃物处理产生的温室气体排放</w:t>
      </w:r>
      <w:r>
        <w:t>量</w:t>
      </w:r>
      <w:r>
        <w:rPr>
          <w:rFonts w:hint="eastAsia"/>
        </w:rPr>
        <w:t>组成。</w:t>
      </w:r>
    </w:p>
    <w:p w14:paraId="47A53B0D">
      <w:r>
        <w:t>7.3.1</w:t>
      </w:r>
      <w:r>
        <w:rPr>
          <w:rFonts w:hint="eastAsia"/>
        </w:rPr>
        <w:t>、</w:t>
      </w:r>
      <w:r>
        <w:t>7.3.2</w:t>
      </w:r>
      <w:r>
        <w:rPr>
          <w:rFonts w:hint="eastAsia"/>
        </w:rPr>
        <w:t>、</w:t>
      </w:r>
      <w:r>
        <w:t>7.3.3</w:t>
      </w:r>
      <w:r>
        <w:rPr>
          <w:rFonts w:hint="eastAsia"/>
        </w:rPr>
        <w:t>、</w:t>
      </w:r>
      <w:r>
        <w:t>7.3.4</w:t>
      </w:r>
      <w:r>
        <w:rPr>
          <w:rFonts w:hint="eastAsia"/>
        </w:rPr>
        <w:t>、</w:t>
      </w:r>
      <w:r>
        <w:t>7.3.5</w:t>
      </w:r>
      <w:r>
        <w:rPr>
          <w:rFonts w:hint="eastAsia"/>
        </w:rPr>
        <w:t>分别给出</w:t>
      </w:r>
      <w:r>
        <w:t>消耗燃料产生的温室气体排放</w:t>
      </w:r>
      <w:r>
        <w:rPr>
          <w:rFonts w:hint="eastAsia"/>
        </w:rPr>
        <w:t>、</w:t>
      </w:r>
      <w:r>
        <w:t>消耗电力产生的温室气体排放</w:t>
      </w:r>
      <w:r>
        <w:rPr>
          <w:rFonts w:hint="eastAsia"/>
        </w:rPr>
        <w:t>、</w:t>
      </w:r>
      <w:r>
        <w:t>消耗热力产生的温室气体排放</w:t>
      </w:r>
      <w:r>
        <w:rPr>
          <w:rFonts w:hint="eastAsia"/>
        </w:rPr>
        <w:t>、</w:t>
      </w:r>
      <w:r>
        <w:t>逸散源产生的温室气体排放</w:t>
      </w:r>
      <w:r>
        <w:rPr>
          <w:rFonts w:hint="eastAsia"/>
        </w:rPr>
        <w:t>、</w:t>
      </w:r>
      <w:r>
        <w:t>废弃物处理产生的温室气体排放计算</w:t>
      </w:r>
      <w:r>
        <w:rPr>
          <w:rFonts w:hint="eastAsia"/>
        </w:rPr>
        <w:t>方法。</w:t>
      </w:r>
    </w:p>
    <w:p w14:paraId="43FBF1F3">
      <w:pPr>
        <w:rPr>
          <w:rFonts w:hint="eastAsia" w:ascii="黑体" w:hAnsi="黑体" w:eastAsia="黑体"/>
        </w:rPr>
      </w:pPr>
      <w:r>
        <w:rPr>
          <w:rFonts w:ascii="黑体" w:hAnsi="黑体" w:eastAsia="黑体"/>
        </w:rPr>
        <w:t>第8章</w:t>
      </w:r>
      <w:r>
        <w:rPr>
          <w:rFonts w:hint="eastAsia" w:ascii="黑体" w:hAnsi="黑体" w:eastAsia="黑体"/>
        </w:rPr>
        <w:t xml:space="preserve"> 结果解释</w:t>
      </w:r>
    </w:p>
    <w:p w14:paraId="43562F05">
      <w:r>
        <w:t>明确了碳足迹量化结果分析与报告的规范性要求。规定了结果解释阶段必须包含的三个核心步骤：识别显著环节、进行完整性/一致性/敏感性评估，以及编制结论与建议。明确了结果解释的内容应紧扣研究目的与范围，重点说明产品碳足迹及各阶段贡献、分析不确定性、记录分配程序并说明研究局限性。同时，提出了为增强结果可信度与决策支持能力，宜包含的敏感性分析、替代情景评估及地理格网描述等补充信息</w:t>
      </w:r>
      <w:r>
        <w:rPr>
          <w:rFonts w:hint="eastAsia" w:ascii="宋体" w:hAnsi="宋体" w:cs="宋体"/>
        </w:rPr>
        <w:t>。</w:t>
      </w:r>
    </w:p>
    <w:p w14:paraId="2CD34E85">
      <w:pPr>
        <w:rPr>
          <w:rFonts w:hint="eastAsia" w:ascii="黑体" w:hAnsi="黑体" w:eastAsia="黑体"/>
        </w:rPr>
      </w:pPr>
      <w:r>
        <w:rPr>
          <w:rFonts w:ascii="黑体" w:hAnsi="黑体" w:eastAsia="黑体"/>
        </w:rPr>
        <w:t>第9章</w:t>
      </w:r>
      <w:r>
        <w:rPr>
          <w:rFonts w:hint="eastAsia" w:ascii="黑体" w:hAnsi="黑体" w:eastAsia="黑体"/>
        </w:rPr>
        <w:t xml:space="preserve"> 碳足迹报告</w:t>
      </w:r>
    </w:p>
    <w:p w14:paraId="5F45BAC8">
      <w:r>
        <w:rPr>
          <w:rFonts w:hint="eastAsia"/>
        </w:rPr>
        <w:t>明确了报告编制的规范性内容与结构要求。规定报告应包含基本情况、量化目的、量化范围、清单分析、影响评价及结果解释等六个核心部分。重点要求详细披露功能单位、系统边界、数据来源、分配程序及数据质量评价等内容，并规定了报告应依据的标准及参考文献，确保量化过程透明、结果可追溯。</w:t>
      </w:r>
    </w:p>
    <w:p w14:paraId="111B8458">
      <w:pPr>
        <w:rPr>
          <w:rFonts w:hint="eastAsia" w:ascii="黑体" w:hAnsi="黑体" w:eastAsia="黑体"/>
        </w:rPr>
      </w:pPr>
      <w:r>
        <w:rPr>
          <w:rFonts w:hint="eastAsia" w:ascii="黑体" w:hAnsi="黑体" w:eastAsia="黑体"/>
        </w:rPr>
        <w:t>第10章 对碳足迹声明</w:t>
      </w:r>
    </w:p>
    <w:p w14:paraId="19F9C2B1">
      <w:r>
        <w:rPr>
          <w:rFonts w:hint="eastAsia"/>
        </w:rPr>
        <w:t>明确了碳足迹信息交流与声明的合规性要求。规定应依据 GB/T 24045 等相关标准开展声明，确保同类服务间的可比性。同时强调，碳足迹声明的发布应符合国家或地方现行有关规定，保障信息交流的规范性与合法性。</w:t>
      </w:r>
    </w:p>
    <w:p w14:paraId="48D9A074">
      <w:pPr>
        <w:pStyle w:val="2"/>
        <w:rPr>
          <w:rFonts w:hint="eastAsia"/>
        </w:rPr>
      </w:pPr>
      <w:bookmarkStart w:id="2" w:name="_Toc228225939"/>
      <w:r>
        <w:rPr>
          <w:rFonts w:hint="eastAsia"/>
        </w:rPr>
        <w:t>与国内同类标准技术、有关法律、行政法规的关系</w:t>
      </w:r>
      <w:bookmarkEnd w:id="2"/>
    </w:p>
    <w:p w14:paraId="45AAEE4B">
      <w:pPr>
        <w:pStyle w:val="4"/>
        <w:rPr>
          <w:rFonts w:hint="eastAsia"/>
        </w:rPr>
      </w:pPr>
      <w:r>
        <w:t>与国内同类标准的关</w:t>
      </w:r>
      <w:r>
        <w:rPr>
          <w:rFonts w:hint="eastAsia" w:ascii="宋体" w:hAnsi="宋体" w:eastAsia="宋体" w:cs="宋体"/>
        </w:rPr>
        <w:t>系</w:t>
      </w:r>
    </w:p>
    <w:p w14:paraId="072060C1">
      <w:r>
        <w:t>国内现行相关标准中，中国航海学会发布的《港口集装箱装卸作业碳足迹核算指南》（T/CIN 099-2026）</w:t>
      </w:r>
      <w:r>
        <w:rPr>
          <w:rFonts w:hint="eastAsia"/>
        </w:rPr>
        <w:t>团体标准，该标准</w:t>
      </w:r>
      <w:r>
        <w:t>提供了港口集装箱装卸作业碳足迹的核算总则、核算流程、核算范围、系统边界、数据获取、核算方法等方面的建议和要点信息。</w:t>
      </w:r>
    </w:p>
    <w:p w14:paraId="60A5DC74">
      <w:r>
        <w:t>T/CIN 099-2026仅针对集装箱单一装卸类型，未涵盖杂货、滚装等港口常见作业场景，适用范围存在局限性</w:t>
      </w:r>
      <w:r>
        <w:rPr>
          <w:rFonts w:hint="eastAsia"/>
        </w:rPr>
        <w:t>。</w:t>
      </w:r>
      <w:r>
        <w:t>本标准在调研基础上，进一步涵盖了杂货及滚装装卸服务，扩大了标准的行业覆盖面与适用性，满足了港口多业态碳足迹量化的需求</w:t>
      </w:r>
      <w:r>
        <w:rPr>
          <w:rFonts w:hint="eastAsia" w:ascii="宋体" w:hAnsi="宋体" w:cs="宋体"/>
        </w:rPr>
        <w:t>。</w:t>
      </w:r>
    </w:p>
    <w:p w14:paraId="64A73886">
      <w:r>
        <w:t>T/CIN 099-2026将系统生命周期划分为原辅材料获取、生产及生命末期三个阶段。本标准结合港口作业实际，经充分论证后认为，将生命周期阶段划分为原材料获取阶段和生产阶段更符合港口服务的运营特征，避免了使用者误将生产作业过程中的废弃物处置所产生的排放归于生命末期阶段，导致生命周期阶段划分混淆的情况，提升了量化的科学性与可操作性。</w:t>
      </w:r>
    </w:p>
    <w:p w14:paraId="77C6C6A9">
      <w:r>
        <w:t>相较于T/CIN 099-2026，本标准系统性地补充了数据质量评价方法、量化结果解释、碳足迹报告编制要求及声明规范等内容，构建了从数据采集、核算、评价到结果应用的完整技术链条，更加贴合GB/T 24067《温室气体 产品碳足迹量化和信息交流 要求和指南》的方法论框架，相比现有同类指南，技术体系更完整、方法论更权威、实操性更强，可有效支撑港口多类型装卸作业碳足迹量化的标准化与规范化发展</w:t>
      </w:r>
      <w:r>
        <w:rPr>
          <w:rFonts w:hint="eastAsia"/>
        </w:rPr>
        <w:t>，</w:t>
      </w:r>
      <w:r>
        <w:t>增强了标准的技术完整性与国际兼容性</w:t>
      </w:r>
      <w:r>
        <w:rPr>
          <w:rFonts w:hint="eastAsia" w:ascii="宋体" w:hAnsi="宋体" w:cs="宋体"/>
        </w:rPr>
        <w:t>。</w:t>
      </w:r>
    </w:p>
    <w:p w14:paraId="4EEADC3D">
      <w:pPr>
        <w:pStyle w:val="4"/>
        <w:rPr>
          <w:rFonts w:hint="eastAsia"/>
        </w:rPr>
      </w:pPr>
      <w:r>
        <w:t>与相关法律、行政法规的关系</w:t>
      </w:r>
    </w:p>
    <w:p w14:paraId="3158B780">
      <w:r>
        <w:t>本标准的编制严格遵循《中华人民共和国标准化法》《中华人民共和国环境保护法》《中华人民共和国节约能源法》</w:t>
      </w:r>
      <w:r>
        <w:rPr>
          <w:rFonts w:hint="eastAsia"/>
        </w:rPr>
        <w:t>等</w:t>
      </w:r>
      <w:r>
        <w:t>国家现行的有关法律、行政法规</w:t>
      </w:r>
      <w:r>
        <w:rPr>
          <w:rFonts w:hint="eastAsia"/>
        </w:rPr>
        <w:t>的要求，</w:t>
      </w:r>
      <w:r>
        <w:t>符合国家 “双碳” 战略、碳达峰碳中和标准体系建设的政策导</w:t>
      </w:r>
      <w:r>
        <w:rPr>
          <w:rFonts w:hint="eastAsia" w:ascii="宋体" w:hAnsi="宋体" w:cs="宋体"/>
        </w:rPr>
        <w:t>向</w:t>
      </w:r>
      <w:r>
        <w:t>。标准内容与现行生态环境、交通运输、节能减排等领域的强制性标准及规范性文件协调一致、无冲突矛盾，未突破相关法律法规的底线要求</w:t>
      </w:r>
      <w:r>
        <w:rPr>
          <w:rFonts w:hint="eastAsia"/>
        </w:rPr>
        <w:t>，</w:t>
      </w:r>
      <w:r>
        <w:t>为港口企业依法依规开展碳排放管理、履行环境信息披露义务提供了技术支撑。</w:t>
      </w:r>
    </w:p>
    <w:p w14:paraId="2E30F1E7">
      <w:pPr>
        <w:pStyle w:val="2"/>
        <w:rPr>
          <w:rFonts w:hint="eastAsia"/>
        </w:rPr>
      </w:pPr>
      <w:bookmarkStart w:id="3" w:name="_Toc228225940"/>
      <w:r>
        <w:rPr>
          <w:rFonts w:hint="eastAsia"/>
        </w:rPr>
        <w:t>与国际同类标准技术、有关法律、行政法规的关系</w:t>
      </w:r>
      <w:bookmarkEnd w:id="3"/>
    </w:p>
    <w:p w14:paraId="2DEC76E7">
      <w:r>
        <w:rPr>
          <w:rFonts w:hint="eastAsia"/>
        </w:rPr>
        <w:t>目前，国际上尚无针对港口集装箱、杂货、滚装装卸服务碳足迹量化指南的标准，</w:t>
      </w:r>
      <w:r>
        <w:t>也没有收集到直接相关的国外先进标准。本标准与国外相关现行的法律、法规和标准没有冲突。</w:t>
      </w:r>
    </w:p>
    <w:p w14:paraId="2845A2A8">
      <w:pPr>
        <w:pStyle w:val="2"/>
        <w:rPr>
          <w:rFonts w:hint="eastAsia"/>
        </w:rPr>
      </w:pPr>
      <w:bookmarkStart w:id="4" w:name="_Toc228225941"/>
      <w:r>
        <w:t>重大分歧意见的处理经过和依据</w:t>
      </w:r>
      <w:bookmarkEnd w:id="4"/>
    </w:p>
    <w:p w14:paraId="52FF81A9">
      <w:r>
        <w:rPr>
          <w:rFonts w:hint="eastAsia"/>
        </w:rPr>
        <w:t>无。</w:t>
      </w:r>
    </w:p>
    <w:p w14:paraId="7CA5EB3B">
      <w:pPr>
        <w:pStyle w:val="2"/>
        <w:rPr>
          <w:rFonts w:hint="eastAsia"/>
        </w:rPr>
      </w:pPr>
      <w:bookmarkStart w:id="5" w:name="_Toc228225942"/>
      <w:r>
        <w:t>涉及专利的有关说明</w:t>
      </w:r>
      <w:bookmarkEnd w:id="5"/>
    </w:p>
    <w:p w14:paraId="576DAE19">
      <w:pPr>
        <w:rPr>
          <w:rFonts w:eastAsia="Times New Roman"/>
        </w:rPr>
      </w:pPr>
      <w:r>
        <w:t>本文件可能涉及相关专利，在使用过程需要使用者进行识别。已经在标准前言中注明</w:t>
      </w:r>
      <w:r>
        <w:rPr>
          <w:rFonts w:hint="eastAsia"/>
        </w:rPr>
        <w:t>：</w:t>
      </w:r>
      <w:r>
        <w:t xml:space="preserve">请注意本文件的某些内容可能涉及专利。本文件的发布机构不承担识别专利的责任。 </w:t>
      </w:r>
    </w:p>
    <w:p w14:paraId="542BFF96">
      <w:pPr>
        <w:pStyle w:val="2"/>
        <w:rPr>
          <w:rFonts w:hint="eastAsia"/>
        </w:rPr>
      </w:pPr>
      <w:bookmarkStart w:id="6" w:name="_Toc228225943"/>
      <w:r>
        <w:t>其他应当说明的事项</w:t>
      </w:r>
      <w:bookmarkEnd w:id="6"/>
    </w:p>
    <w:p w14:paraId="19EA8E83">
      <w:r>
        <w:rPr>
          <w:rFonts w:hint="eastAsia"/>
        </w:rPr>
        <w:t>无。</w:t>
      </w:r>
    </w:p>
    <w:p w14:paraId="17687CC0"/>
    <w:sectPr>
      <w:footerReference r:id="rId7" w:type="default"/>
      <w:pgSz w:w="11900" w:h="16840"/>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1551">
    <w:pPr>
      <w:pStyle w:val="17"/>
      <w:ind w:firstLine="0" w:firstLineChars="0"/>
      <w:jc w:val="center"/>
    </w:pPr>
  </w:p>
  <w:p w14:paraId="5D7D6A63">
    <w:pPr>
      <w:pStyle w:val="17"/>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9"/>
      </w:rPr>
      <w:id w:val="774136850"/>
      <w:docPartObj>
        <w:docPartGallery w:val="autotext"/>
      </w:docPartObj>
    </w:sdtPr>
    <w:sdtEndPr>
      <w:rPr>
        <w:rStyle w:val="29"/>
      </w:rPr>
    </w:sdtEndPr>
    <w:sdtContent>
      <w:p w14:paraId="305265DE">
        <w:pPr>
          <w:pStyle w:val="17"/>
          <w:framePr w:wrap="auto" w:vAnchor="text" w:hAnchor="margin" w:xAlign="center" w:y="1"/>
          <w:rPr>
            <w:rStyle w:val="29"/>
          </w:rPr>
        </w:pPr>
        <w:r>
          <w:rPr>
            <w:rStyle w:val="29"/>
          </w:rPr>
          <w:fldChar w:fldCharType="begin"/>
        </w:r>
        <w:r>
          <w:rPr>
            <w:rStyle w:val="29"/>
          </w:rPr>
          <w:instrText xml:space="preserve"> PAGE </w:instrText>
        </w:r>
        <w:r>
          <w:rPr>
            <w:rStyle w:val="29"/>
          </w:rPr>
          <w:fldChar w:fldCharType="separate"/>
        </w:r>
        <w:r>
          <w:rPr>
            <w:rStyle w:val="29"/>
          </w:rPr>
          <w:fldChar w:fldCharType="end"/>
        </w:r>
      </w:p>
    </w:sdtContent>
  </w:sdt>
  <w:p w14:paraId="17603C4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9"/>
        <w:sz w:val="21"/>
        <w:szCs w:val="21"/>
      </w:rPr>
      <w:id w:val="-1022391805"/>
      <w:docPartObj>
        <w:docPartGallery w:val="autotext"/>
      </w:docPartObj>
    </w:sdtPr>
    <w:sdtEndPr>
      <w:rPr>
        <w:rStyle w:val="29"/>
        <w:sz w:val="21"/>
        <w:szCs w:val="21"/>
      </w:rPr>
    </w:sdtEndPr>
    <w:sdtContent>
      <w:p w14:paraId="7D5743B2">
        <w:pPr>
          <w:pStyle w:val="17"/>
          <w:framePr w:wrap="auto" w:vAnchor="text" w:hAnchor="margin" w:xAlign="center" w:y="1"/>
          <w:ind w:firstLine="0" w:firstLineChars="0"/>
          <w:jc w:val="center"/>
          <w:rPr>
            <w:rStyle w:val="29"/>
            <w:sz w:val="21"/>
            <w:szCs w:val="21"/>
          </w:rPr>
        </w:pPr>
        <w:r>
          <w:rPr>
            <w:rStyle w:val="29"/>
            <w:sz w:val="21"/>
            <w:szCs w:val="21"/>
          </w:rPr>
          <w:fldChar w:fldCharType="begin"/>
        </w:r>
        <w:r>
          <w:rPr>
            <w:rStyle w:val="29"/>
            <w:sz w:val="21"/>
            <w:szCs w:val="21"/>
          </w:rPr>
          <w:instrText xml:space="preserve"> PAGE </w:instrText>
        </w:r>
        <w:r>
          <w:rPr>
            <w:rStyle w:val="29"/>
            <w:sz w:val="21"/>
            <w:szCs w:val="21"/>
          </w:rPr>
          <w:fldChar w:fldCharType="separate"/>
        </w:r>
        <w:r>
          <w:rPr>
            <w:rStyle w:val="29"/>
            <w:sz w:val="21"/>
            <w:szCs w:val="21"/>
          </w:rPr>
          <w:t>1</w:t>
        </w:r>
        <w:r>
          <w:rPr>
            <w:rStyle w:val="29"/>
            <w:sz w:val="21"/>
            <w:szCs w:val="21"/>
          </w:rPr>
          <w:fldChar w:fldCharType="end"/>
        </w:r>
      </w:p>
    </w:sdtContent>
  </w:sdt>
  <w:p w14:paraId="17CCF1A9">
    <w:pPr>
      <w:pStyle w:val="17"/>
      <w:ind w:firstLine="0" w:firstLineChars="0"/>
      <w:jc w:val="center"/>
    </w:pPr>
  </w:p>
  <w:p w14:paraId="2C5FACBF">
    <w:pPr>
      <w:pStyle w:val="17"/>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344B2"/>
    <w:multiLevelType w:val="multilevel"/>
    <w:tmpl w:val="228344B2"/>
    <w:lvl w:ilvl="0" w:tentative="0">
      <w:start w:val="1"/>
      <w:numFmt w:val="japaneseCounting"/>
      <w:pStyle w:val="2"/>
      <w:lvlText w:val="%1、"/>
      <w:lvlJc w:val="left"/>
      <w:pPr>
        <w:ind w:left="840" w:hanging="480"/>
      </w:pPr>
      <w:rPr>
        <w:rFonts w:hint="default"/>
      </w:rPr>
    </w:lvl>
    <w:lvl w:ilvl="1" w:tentative="0">
      <w:start w:val="1"/>
      <w:numFmt w:val="chineseCountingThousand"/>
      <w:pStyle w:val="4"/>
      <w:lvlText w:val="（%2）"/>
      <w:lvlJc w:val="left"/>
      <w:pPr>
        <w:ind w:left="1440" w:hanging="360"/>
      </w:pPr>
      <w:rPr>
        <w:rFonts w:hint="default"/>
      </w:rPr>
    </w:lvl>
    <w:lvl w:ilvl="2" w:tentative="0">
      <w:start w:val="1"/>
      <w:numFmt w:val="decimal"/>
      <w:pStyle w:val="5"/>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E4"/>
    <w:rsid w:val="00002B7F"/>
    <w:rsid w:val="00016D5D"/>
    <w:rsid w:val="00021FCC"/>
    <w:rsid w:val="00022E68"/>
    <w:rsid w:val="0003192D"/>
    <w:rsid w:val="00040A3B"/>
    <w:rsid w:val="00043532"/>
    <w:rsid w:val="0007603E"/>
    <w:rsid w:val="00076BD0"/>
    <w:rsid w:val="00095503"/>
    <w:rsid w:val="000B1DAC"/>
    <w:rsid w:val="000B6A58"/>
    <w:rsid w:val="000C707A"/>
    <w:rsid w:val="000E3D4B"/>
    <w:rsid w:val="000F16E7"/>
    <w:rsid w:val="0010433D"/>
    <w:rsid w:val="001051E7"/>
    <w:rsid w:val="001126B2"/>
    <w:rsid w:val="001847C7"/>
    <w:rsid w:val="001A2E1E"/>
    <w:rsid w:val="001C7488"/>
    <w:rsid w:val="001E1516"/>
    <w:rsid w:val="001E217F"/>
    <w:rsid w:val="00214916"/>
    <w:rsid w:val="00233CE2"/>
    <w:rsid w:val="00241CE4"/>
    <w:rsid w:val="00257DE9"/>
    <w:rsid w:val="00261AB4"/>
    <w:rsid w:val="00267ED1"/>
    <w:rsid w:val="00280145"/>
    <w:rsid w:val="002B034A"/>
    <w:rsid w:val="002B4F95"/>
    <w:rsid w:val="002D0380"/>
    <w:rsid w:val="002E0A83"/>
    <w:rsid w:val="002E41B5"/>
    <w:rsid w:val="002E521A"/>
    <w:rsid w:val="002F7086"/>
    <w:rsid w:val="002F77AF"/>
    <w:rsid w:val="00302FC1"/>
    <w:rsid w:val="00332AF9"/>
    <w:rsid w:val="00340074"/>
    <w:rsid w:val="003471F9"/>
    <w:rsid w:val="003B7EEB"/>
    <w:rsid w:val="003C22EF"/>
    <w:rsid w:val="003C3EF6"/>
    <w:rsid w:val="003D01FA"/>
    <w:rsid w:val="003D1671"/>
    <w:rsid w:val="003D5D6D"/>
    <w:rsid w:val="003E596B"/>
    <w:rsid w:val="003F2D31"/>
    <w:rsid w:val="00401B67"/>
    <w:rsid w:val="004026DD"/>
    <w:rsid w:val="00402DD3"/>
    <w:rsid w:val="0040791A"/>
    <w:rsid w:val="00420B26"/>
    <w:rsid w:val="00432AC3"/>
    <w:rsid w:val="00451F50"/>
    <w:rsid w:val="004864D9"/>
    <w:rsid w:val="00487F83"/>
    <w:rsid w:val="004A1607"/>
    <w:rsid w:val="004A1AAE"/>
    <w:rsid w:val="004C1D21"/>
    <w:rsid w:val="004D6D45"/>
    <w:rsid w:val="00500B08"/>
    <w:rsid w:val="005025D0"/>
    <w:rsid w:val="005317F9"/>
    <w:rsid w:val="005551BA"/>
    <w:rsid w:val="00564071"/>
    <w:rsid w:val="00566D6C"/>
    <w:rsid w:val="0059183E"/>
    <w:rsid w:val="005A2A2D"/>
    <w:rsid w:val="005B3421"/>
    <w:rsid w:val="00603A5C"/>
    <w:rsid w:val="0061476E"/>
    <w:rsid w:val="006240D4"/>
    <w:rsid w:val="00631847"/>
    <w:rsid w:val="00637628"/>
    <w:rsid w:val="00656E7E"/>
    <w:rsid w:val="00680306"/>
    <w:rsid w:val="00695F00"/>
    <w:rsid w:val="006D5292"/>
    <w:rsid w:val="007040EB"/>
    <w:rsid w:val="0071253C"/>
    <w:rsid w:val="007131EB"/>
    <w:rsid w:val="00727BC0"/>
    <w:rsid w:val="007462CC"/>
    <w:rsid w:val="007854CB"/>
    <w:rsid w:val="007914C9"/>
    <w:rsid w:val="007B1ABD"/>
    <w:rsid w:val="007D52B6"/>
    <w:rsid w:val="007D774C"/>
    <w:rsid w:val="007F15D5"/>
    <w:rsid w:val="008040A2"/>
    <w:rsid w:val="008134AA"/>
    <w:rsid w:val="00817D6D"/>
    <w:rsid w:val="00834BC2"/>
    <w:rsid w:val="00837F3A"/>
    <w:rsid w:val="00841DB5"/>
    <w:rsid w:val="0084616D"/>
    <w:rsid w:val="00852066"/>
    <w:rsid w:val="00863734"/>
    <w:rsid w:val="008772B9"/>
    <w:rsid w:val="00893DB4"/>
    <w:rsid w:val="00896572"/>
    <w:rsid w:val="008A62EA"/>
    <w:rsid w:val="008B53B3"/>
    <w:rsid w:val="008C5558"/>
    <w:rsid w:val="008D2ECC"/>
    <w:rsid w:val="008F6CF9"/>
    <w:rsid w:val="0091242D"/>
    <w:rsid w:val="00924155"/>
    <w:rsid w:val="009249E4"/>
    <w:rsid w:val="00927911"/>
    <w:rsid w:val="009528CA"/>
    <w:rsid w:val="009579F7"/>
    <w:rsid w:val="00967EE7"/>
    <w:rsid w:val="009A6D2F"/>
    <w:rsid w:val="009A760F"/>
    <w:rsid w:val="009C4930"/>
    <w:rsid w:val="009C5DBA"/>
    <w:rsid w:val="009F0F35"/>
    <w:rsid w:val="009F558A"/>
    <w:rsid w:val="009F7DE8"/>
    <w:rsid w:val="00A20626"/>
    <w:rsid w:val="00A62C6B"/>
    <w:rsid w:val="00A62D18"/>
    <w:rsid w:val="00A6762B"/>
    <w:rsid w:val="00A970CF"/>
    <w:rsid w:val="00AA0944"/>
    <w:rsid w:val="00AB0050"/>
    <w:rsid w:val="00AB468C"/>
    <w:rsid w:val="00B02351"/>
    <w:rsid w:val="00B12418"/>
    <w:rsid w:val="00B20377"/>
    <w:rsid w:val="00B307E0"/>
    <w:rsid w:val="00B4467A"/>
    <w:rsid w:val="00B5052F"/>
    <w:rsid w:val="00B5298E"/>
    <w:rsid w:val="00B54B4C"/>
    <w:rsid w:val="00B766EC"/>
    <w:rsid w:val="00B84F0C"/>
    <w:rsid w:val="00BC2F0C"/>
    <w:rsid w:val="00BC6985"/>
    <w:rsid w:val="00BD33AE"/>
    <w:rsid w:val="00BE0588"/>
    <w:rsid w:val="00BE59D3"/>
    <w:rsid w:val="00C153DC"/>
    <w:rsid w:val="00C2782E"/>
    <w:rsid w:val="00C3483D"/>
    <w:rsid w:val="00C42613"/>
    <w:rsid w:val="00C440EA"/>
    <w:rsid w:val="00C5078C"/>
    <w:rsid w:val="00C565AC"/>
    <w:rsid w:val="00C636AB"/>
    <w:rsid w:val="00C76021"/>
    <w:rsid w:val="00CC4529"/>
    <w:rsid w:val="00CC4569"/>
    <w:rsid w:val="00CC71BD"/>
    <w:rsid w:val="00CD2559"/>
    <w:rsid w:val="00D11B75"/>
    <w:rsid w:val="00D17102"/>
    <w:rsid w:val="00D2254D"/>
    <w:rsid w:val="00D23320"/>
    <w:rsid w:val="00D251B4"/>
    <w:rsid w:val="00D430DC"/>
    <w:rsid w:val="00D478C4"/>
    <w:rsid w:val="00D81DBA"/>
    <w:rsid w:val="00D84795"/>
    <w:rsid w:val="00D907B7"/>
    <w:rsid w:val="00D97A0E"/>
    <w:rsid w:val="00DA112A"/>
    <w:rsid w:val="00DB19D5"/>
    <w:rsid w:val="00DC753C"/>
    <w:rsid w:val="00E04304"/>
    <w:rsid w:val="00E110F7"/>
    <w:rsid w:val="00E2143B"/>
    <w:rsid w:val="00E24EE3"/>
    <w:rsid w:val="00E5208F"/>
    <w:rsid w:val="00E75930"/>
    <w:rsid w:val="00E81555"/>
    <w:rsid w:val="00E83E9F"/>
    <w:rsid w:val="00EA3EB9"/>
    <w:rsid w:val="00EB7CC2"/>
    <w:rsid w:val="00ED2D28"/>
    <w:rsid w:val="00EF5A72"/>
    <w:rsid w:val="00EF7A6A"/>
    <w:rsid w:val="00F24CA2"/>
    <w:rsid w:val="00F26821"/>
    <w:rsid w:val="00F3065A"/>
    <w:rsid w:val="00F3098E"/>
    <w:rsid w:val="00F32F43"/>
    <w:rsid w:val="00F32F81"/>
    <w:rsid w:val="00F33EE0"/>
    <w:rsid w:val="00F5675C"/>
    <w:rsid w:val="00F57381"/>
    <w:rsid w:val="00F624B2"/>
    <w:rsid w:val="00F65271"/>
    <w:rsid w:val="00F707AB"/>
    <w:rsid w:val="00F82A71"/>
    <w:rsid w:val="00F904D7"/>
    <w:rsid w:val="00F92C6A"/>
    <w:rsid w:val="00FA4D19"/>
    <w:rsid w:val="00FB08E1"/>
    <w:rsid w:val="00FB7C4A"/>
    <w:rsid w:val="00FF04D8"/>
    <w:rsid w:val="0CD1611A"/>
    <w:rsid w:val="193C3D00"/>
    <w:rsid w:val="4B7B289E"/>
    <w:rsid w:val="616F58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360" w:lineRule="auto"/>
      <w:ind w:firstLine="480" w:firstLineChars="200"/>
      <w:jc w:val="both"/>
    </w:pPr>
    <w:rPr>
      <w:rFonts w:ascii="Times New Roman" w:hAnsi="Times New Roman" w:eastAsia="宋体" w:cstheme="minorBidi"/>
      <w:sz w:val="24"/>
      <w:szCs w:val="24"/>
      <w:lang w:val="en-AU" w:eastAsia="zh-CN" w:bidi="ar-SA"/>
    </w:rPr>
  </w:style>
  <w:style w:type="paragraph" w:styleId="2">
    <w:name w:val="heading 1"/>
    <w:basedOn w:val="3"/>
    <w:next w:val="1"/>
    <w:link w:val="31"/>
    <w:qFormat/>
    <w:uiPriority w:val="9"/>
    <w:pPr>
      <w:numPr>
        <w:ilvl w:val="0"/>
        <w:numId w:val="1"/>
      </w:numPr>
      <w:ind w:left="482" w:hanging="482" w:firstLineChars="0"/>
      <w:outlineLvl w:val="0"/>
    </w:pPr>
    <w:rPr>
      <w:rFonts w:ascii="黑体" w:hAnsi="黑体" w:eastAsia="黑体"/>
    </w:rPr>
  </w:style>
  <w:style w:type="paragraph" w:styleId="4">
    <w:name w:val="heading 2"/>
    <w:basedOn w:val="3"/>
    <w:next w:val="1"/>
    <w:link w:val="32"/>
    <w:unhideWhenUsed/>
    <w:qFormat/>
    <w:uiPriority w:val="9"/>
    <w:pPr>
      <w:numPr>
        <w:ilvl w:val="1"/>
        <w:numId w:val="1"/>
      </w:numPr>
      <w:ind w:left="1276" w:leftChars="200" w:hanging="796" w:firstLineChars="0"/>
      <w:outlineLvl w:val="1"/>
    </w:pPr>
    <w:rPr>
      <w:rFonts w:ascii="黑体" w:hAnsi="黑体" w:eastAsia="黑体"/>
    </w:rPr>
  </w:style>
  <w:style w:type="paragraph" w:styleId="5">
    <w:name w:val="heading 3"/>
    <w:basedOn w:val="3"/>
    <w:next w:val="1"/>
    <w:link w:val="33"/>
    <w:unhideWhenUsed/>
    <w:qFormat/>
    <w:uiPriority w:val="9"/>
    <w:pPr>
      <w:numPr>
        <w:ilvl w:val="2"/>
        <w:numId w:val="1"/>
      </w:numPr>
      <w:ind w:left="993" w:firstLine="0" w:firstLineChars="0"/>
      <w:outlineLvl w:val="2"/>
    </w:pPr>
    <w:rPr>
      <w:rFonts w:ascii="黑体" w:hAnsi="黑体" w:eastAsia="黑体"/>
    </w:rPr>
  </w:style>
  <w:style w:type="paragraph" w:styleId="6">
    <w:name w:val="heading 4"/>
    <w:basedOn w:val="1"/>
    <w:next w:val="1"/>
    <w:link w:val="3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7">
    <w:name w:val="heading 5"/>
    <w:basedOn w:val="1"/>
    <w:next w:val="1"/>
    <w:link w:val="3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8">
    <w:name w:val="heading 6"/>
    <w:basedOn w:val="1"/>
    <w:next w:val="1"/>
    <w:link w:val="3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3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3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left="720"/>
      <w:contextualSpacing/>
    </w:pPr>
  </w:style>
  <w:style w:type="paragraph" w:styleId="12">
    <w:name w:val="toc 7"/>
    <w:basedOn w:val="1"/>
    <w:next w:val="1"/>
    <w:autoRedefine/>
    <w:semiHidden/>
    <w:unhideWhenUsed/>
    <w:qFormat/>
    <w:uiPriority w:val="39"/>
    <w:pPr>
      <w:spacing w:before="0" w:after="0"/>
      <w:ind w:left="1440"/>
      <w:jc w:val="left"/>
    </w:pPr>
    <w:rPr>
      <w:rFonts w:asciiTheme="minorHAnsi" w:hAnsiTheme="minorHAnsi" w:cstheme="minorHAnsi"/>
      <w:sz w:val="18"/>
      <w:szCs w:val="18"/>
    </w:rPr>
  </w:style>
  <w:style w:type="paragraph" w:styleId="13">
    <w:name w:val="caption"/>
    <w:basedOn w:val="1"/>
    <w:next w:val="1"/>
    <w:unhideWhenUsed/>
    <w:qFormat/>
    <w:uiPriority w:val="35"/>
    <w:pPr>
      <w:keepNext/>
      <w:widowControl w:val="0"/>
      <w:spacing w:before="0" w:after="0" w:line="240" w:lineRule="auto"/>
      <w:ind w:firstLine="0" w:firstLineChars="0"/>
      <w:jc w:val="center"/>
    </w:pPr>
    <w:rPr>
      <w:rFonts w:ascii="黑体" w:hAnsi="黑体" w:eastAsia="黑体" w:cstheme="majorBidi"/>
      <w:kern w:val="2"/>
      <w:sz w:val="20"/>
      <w:szCs w:val="20"/>
      <w:lang w:val="en-US"/>
    </w:rPr>
  </w:style>
  <w:style w:type="paragraph" w:styleId="14">
    <w:name w:val="toc 5"/>
    <w:basedOn w:val="1"/>
    <w:next w:val="1"/>
    <w:autoRedefine/>
    <w:semiHidden/>
    <w:unhideWhenUsed/>
    <w:qFormat/>
    <w:uiPriority w:val="39"/>
    <w:pPr>
      <w:spacing w:before="0" w:after="0"/>
      <w:ind w:left="960"/>
      <w:jc w:val="left"/>
    </w:pPr>
    <w:rPr>
      <w:rFonts w:asciiTheme="minorHAnsi" w:hAnsiTheme="minorHAnsi" w:cstheme="minorHAnsi"/>
      <w:sz w:val="18"/>
      <w:szCs w:val="18"/>
    </w:rPr>
  </w:style>
  <w:style w:type="paragraph" w:styleId="15">
    <w:name w:val="toc 3"/>
    <w:basedOn w:val="1"/>
    <w:next w:val="1"/>
    <w:autoRedefine/>
    <w:unhideWhenUsed/>
    <w:qFormat/>
    <w:uiPriority w:val="39"/>
    <w:pPr>
      <w:spacing w:before="0" w:after="0"/>
      <w:ind w:left="480"/>
      <w:jc w:val="left"/>
    </w:pPr>
    <w:rPr>
      <w:rFonts w:asciiTheme="minorHAnsi" w:hAnsiTheme="minorHAnsi" w:cstheme="minorHAnsi"/>
      <w:i/>
      <w:iCs/>
      <w:sz w:val="20"/>
      <w:szCs w:val="20"/>
    </w:rPr>
  </w:style>
  <w:style w:type="paragraph" w:styleId="16">
    <w:name w:val="toc 8"/>
    <w:basedOn w:val="1"/>
    <w:next w:val="1"/>
    <w:autoRedefine/>
    <w:semiHidden/>
    <w:unhideWhenUsed/>
    <w:qFormat/>
    <w:uiPriority w:val="39"/>
    <w:pPr>
      <w:spacing w:before="0" w:after="0"/>
      <w:ind w:left="1680"/>
      <w:jc w:val="left"/>
    </w:pPr>
    <w:rPr>
      <w:rFonts w:asciiTheme="minorHAnsi" w:hAnsiTheme="minorHAnsi" w:cstheme="minorHAnsi"/>
      <w:sz w:val="18"/>
      <w:szCs w:val="18"/>
    </w:rPr>
  </w:style>
  <w:style w:type="paragraph" w:styleId="17">
    <w:name w:val="footer"/>
    <w:basedOn w:val="1"/>
    <w:link w:val="50"/>
    <w:unhideWhenUsed/>
    <w:qFormat/>
    <w:uiPriority w:val="99"/>
    <w:pPr>
      <w:tabs>
        <w:tab w:val="center" w:pos="4513"/>
        <w:tab w:val="right" w:pos="9026"/>
      </w:tabs>
      <w:spacing w:before="0" w:after="0" w:line="240" w:lineRule="auto"/>
    </w:pPr>
  </w:style>
  <w:style w:type="paragraph" w:styleId="18">
    <w:name w:val="header"/>
    <w:basedOn w:val="1"/>
    <w:link w:val="49"/>
    <w:unhideWhenUsed/>
    <w:qFormat/>
    <w:uiPriority w:val="99"/>
    <w:pPr>
      <w:tabs>
        <w:tab w:val="center" w:pos="4513"/>
        <w:tab w:val="right" w:pos="9026"/>
      </w:tabs>
      <w:spacing w:before="0" w:after="0" w:line="240" w:lineRule="auto"/>
    </w:pPr>
  </w:style>
  <w:style w:type="paragraph" w:styleId="19">
    <w:name w:val="toc 1"/>
    <w:basedOn w:val="1"/>
    <w:next w:val="1"/>
    <w:autoRedefine/>
    <w:unhideWhenUsed/>
    <w:qFormat/>
    <w:uiPriority w:val="39"/>
    <w:pPr>
      <w:tabs>
        <w:tab w:val="left" w:pos="1276"/>
        <w:tab w:val="right" w:leader="dot" w:pos="9010"/>
      </w:tabs>
      <w:ind w:firstLine="679" w:firstLineChars="283"/>
      <w:jc w:val="left"/>
    </w:pPr>
    <w:rPr>
      <w:rFonts w:cs="Times New Roman"/>
      <w:caps/>
    </w:rPr>
  </w:style>
  <w:style w:type="paragraph" w:styleId="20">
    <w:name w:val="toc 4"/>
    <w:basedOn w:val="1"/>
    <w:next w:val="1"/>
    <w:autoRedefine/>
    <w:semiHidden/>
    <w:unhideWhenUsed/>
    <w:qFormat/>
    <w:uiPriority w:val="39"/>
    <w:pPr>
      <w:spacing w:before="0" w:after="0"/>
      <w:ind w:left="720"/>
      <w:jc w:val="left"/>
    </w:pPr>
    <w:rPr>
      <w:rFonts w:asciiTheme="minorHAnsi" w:hAnsiTheme="minorHAnsi" w:cstheme="minorHAnsi"/>
      <w:sz w:val="18"/>
      <w:szCs w:val="18"/>
    </w:rPr>
  </w:style>
  <w:style w:type="paragraph" w:styleId="21">
    <w:name w:val="Subtitle"/>
    <w:basedOn w:val="1"/>
    <w:next w:val="1"/>
    <w:link w:val="41"/>
    <w:qFormat/>
    <w:uiPriority w:val="11"/>
    <w:pPr>
      <w:spacing w:after="160"/>
      <w:ind w:firstLine="480" w:firstLineChars="20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oc 6"/>
    <w:basedOn w:val="1"/>
    <w:next w:val="1"/>
    <w:autoRedefine/>
    <w:semiHidden/>
    <w:unhideWhenUsed/>
    <w:qFormat/>
    <w:uiPriority w:val="39"/>
    <w:pPr>
      <w:spacing w:before="0" w:after="0"/>
      <w:ind w:left="1200"/>
      <w:jc w:val="left"/>
    </w:pPr>
    <w:rPr>
      <w:rFonts w:asciiTheme="minorHAnsi" w:hAnsiTheme="minorHAnsi" w:cstheme="minorHAnsi"/>
      <w:sz w:val="18"/>
      <w:szCs w:val="18"/>
    </w:rPr>
  </w:style>
  <w:style w:type="paragraph" w:styleId="23">
    <w:name w:val="toc 2"/>
    <w:basedOn w:val="19"/>
    <w:next w:val="1"/>
    <w:autoRedefine/>
    <w:unhideWhenUsed/>
    <w:qFormat/>
    <w:uiPriority w:val="39"/>
    <w:pPr>
      <w:tabs>
        <w:tab w:val="left" w:pos="1134"/>
      </w:tabs>
      <w:ind w:firstLine="425" w:firstLineChars="177"/>
    </w:pPr>
  </w:style>
  <w:style w:type="paragraph" w:styleId="24">
    <w:name w:val="toc 9"/>
    <w:basedOn w:val="1"/>
    <w:next w:val="1"/>
    <w:autoRedefine/>
    <w:semiHidden/>
    <w:unhideWhenUsed/>
    <w:qFormat/>
    <w:uiPriority w:val="39"/>
    <w:pPr>
      <w:spacing w:before="0" w:after="0"/>
      <w:ind w:left="1920"/>
      <w:jc w:val="left"/>
    </w:pPr>
    <w:rPr>
      <w:rFonts w:asciiTheme="minorHAnsi" w:hAnsiTheme="minorHAnsi" w:cstheme="minorHAnsi"/>
      <w:sz w:val="18"/>
      <w:szCs w:val="18"/>
    </w:rPr>
  </w:style>
  <w:style w:type="paragraph" w:styleId="25">
    <w:name w:val="Normal (Web)"/>
    <w:basedOn w:val="1"/>
    <w:semiHidden/>
    <w:unhideWhenUsed/>
    <w:qFormat/>
    <w:uiPriority w:val="99"/>
    <w:pPr>
      <w:spacing w:before="100" w:beforeAutospacing="1" w:after="100" w:afterAutospacing="1" w:line="240" w:lineRule="auto"/>
      <w:ind w:firstLine="0" w:firstLineChars="0"/>
    </w:pPr>
    <w:rPr>
      <w:rFonts w:eastAsia="Times New Roman" w:cs="Times New Roman"/>
    </w:rPr>
  </w:style>
  <w:style w:type="paragraph" w:styleId="26">
    <w:name w:val="Title"/>
    <w:basedOn w:val="1"/>
    <w:next w:val="1"/>
    <w:link w:val="40"/>
    <w:qFormat/>
    <w:uiPriority w:val="10"/>
    <w:pPr>
      <w:ind w:firstLine="0" w:firstLineChars="0"/>
      <w:contextualSpacing/>
      <w:jc w:val="center"/>
    </w:pPr>
    <w:rPr>
      <w:rFonts w:ascii="黑体" w:hAnsi="黑体" w:eastAsia="黑体" w:cstheme="majorBidi"/>
      <w:spacing w:val="-10"/>
      <w:kern w:val="28"/>
      <w:sz w:val="36"/>
      <w:szCs w:val="36"/>
    </w:rPr>
  </w:style>
  <w:style w:type="character" w:styleId="29">
    <w:name w:val="page number"/>
    <w:basedOn w:val="28"/>
    <w:semiHidden/>
    <w:unhideWhenUsed/>
    <w:qFormat/>
    <w:uiPriority w:val="99"/>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customStyle="1" w:styleId="31">
    <w:name w:val="标题 1 字符"/>
    <w:basedOn w:val="28"/>
    <w:link w:val="2"/>
    <w:qFormat/>
    <w:uiPriority w:val="9"/>
    <w:rPr>
      <w:rFonts w:ascii="黑体" w:hAnsi="黑体" w:eastAsia="黑体"/>
    </w:rPr>
  </w:style>
  <w:style w:type="character" w:customStyle="1" w:styleId="32">
    <w:name w:val="标题 2 字符"/>
    <w:basedOn w:val="28"/>
    <w:link w:val="4"/>
    <w:qFormat/>
    <w:uiPriority w:val="9"/>
    <w:rPr>
      <w:rFonts w:ascii="黑体" w:hAnsi="黑体" w:eastAsia="黑体"/>
    </w:rPr>
  </w:style>
  <w:style w:type="character" w:customStyle="1" w:styleId="33">
    <w:name w:val="标题 3 字符"/>
    <w:basedOn w:val="28"/>
    <w:link w:val="5"/>
    <w:qFormat/>
    <w:uiPriority w:val="9"/>
    <w:rPr>
      <w:rFonts w:ascii="黑体" w:hAnsi="黑体" w:eastAsia="黑体"/>
    </w:rPr>
  </w:style>
  <w:style w:type="character" w:customStyle="1" w:styleId="34">
    <w:name w:val="标题 4 字符"/>
    <w:basedOn w:val="28"/>
    <w:link w:val="6"/>
    <w:semiHidden/>
    <w:qFormat/>
    <w:uiPriority w:val="9"/>
    <w:rPr>
      <w:rFonts w:eastAsiaTheme="majorEastAsia" w:cstheme="majorBidi"/>
      <w:i/>
      <w:iCs/>
      <w:color w:val="2F5597" w:themeColor="accent1" w:themeShade="BF"/>
    </w:rPr>
  </w:style>
  <w:style w:type="character" w:customStyle="1" w:styleId="35">
    <w:name w:val="标题 5 字符"/>
    <w:basedOn w:val="28"/>
    <w:link w:val="7"/>
    <w:semiHidden/>
    <w:qFormat/>
    <w:uiPriority w:val="9"/>
    <w:rPr>
      <w:rFonts w:eastAsiaTheme="majorEastAsia" w:cstheme="majorBidi"/>
      <w:color w:val="2F5597" w:themeColor="accent1" w:themeShade="BF"/>
    </w:rPr>
  </w:style>
  <w:style w:type="character" w:customStyle="1" w:styleId="36">
    <w:name w:val="标题 6 字符"/>
    <w:basedOn w:val="28"/>
    <w:link w:val="8"/>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7">
    <w:name w:val="标题 7 字符"/>
    <w:basedOn w:val="28"/>
    <w:link w:val="9"/>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8 字符"/>
    <w:basedOn w:val="28"/>
    <w:link w:val="10"/>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9">
    <w:name w:val="标题 9 字符"/>
    <w:basedOn w:val="28"/>
    <w:link w:val="11"/>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0">
    <w:name w:val="标题 字符"/>
    <w:basedOn w:val="28"/>
    <w:link w:val="26"/>
    <w:qFormat/>
    <w:uiPriority w:val="10"/>
    <w:rPr>
      <w:rFonts w:ascii="黑体" w:hAnsi="黑体" w:eastAsia="黑体" w:cstheme="majorBidi"/>
      <w:spacing w:val="-10"/>
      <w:kern w:val="28"/>
      <w:sz w:val="36"/>
      <w:szCs w:val="36"/>
    </w:rPr>
  </w:style>
  <w:style w:type="character" w:customStyle="1" w:styleId="41">
    <w:name w:val="副标题 字符"/>
    <w:basedOn w:val="28"/>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8"/>
    <w:link w:val="42"/>
    <w:qFormat/>
    <w:uiPriority w:val="29"/>
    <w:rPr>
      <w:i/>
      <w:iCs/>
      <w:color w:val="404040" w:themeColor="text1" w:themeTint="BF"/>
      <w14:textFill>
        <w14:solidFill>
          <w14:schemeClr w14:val="tx1">
            <w14:lumMod w14:val="75000"/>
            <w14:lumOff w14:val="25000"/>
          </w14:schemeClr>
        </w14:solidFill>
      </w14:textFill>
    </w:rPr>
  </w:style>
  <w:style w:type="character" w:customStyle="1" w:styleId="44">
    <w:name w:val="Intense Emphasis"/>
    <w:basedOn w:val="28"/>
    <w:qFormat/>
    <w:uiPriority w:val="21"/>
    <w:rPr>
      <w:i/>
      <w:iCs/>
      <w:color w:val="2F5597" w:themeColor="accent1" w:themeShade="BF"/>
    </w:rPr>
  </w:style>
  <w:style w:type="paragraph" w:styleId="45">
    <w:name w:val="Intense Quote"/>
    <w:basedOn w:val="1"/>
    <w:next w:val="1"/>
    <w:link w:val="4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6">
    <w:name w:val="明显引用 字符"/>
    <w:basedOn w:val="28"/>
    <w:link w:val="45"/>
    <w:qFormat/>
    <w:uiPriority w:val="30"/>
    <w:rPr>
      <w:i/>
      <w:iCs/>
      <w:color w:val="2F5597" w:themeColor="accent1" w:themeShade="BF"/>
    </w:rPr>
  </w:style>
  <w:style w:type="character" w:customStyle="1" w:styleId="47">
    <w:name w:val="Intense Reference"/>
    <w:basedOn w:val="28"/>
    <w:qFormat/>
    <w:uiPriority w:val="32"/>
    <w:rPr>
      <w:b/>
      <w:bCs/>
      <w:smallCaps/>
      <w:color w:val="2F5597" w:themeColor="accent1" w:themeShade="BF"/>
      <w:spacing w:val="5"/>
    </w:rPr>
  </w:style>
  <w:style w:type="paragraph" w:customStyle="1" w:styleId="48">
    <w:name w:val="TOC Heading"/>
    <w:basedOn w:val="2"/>
    <w:next w:val="1"/>
    <w:unhideWhenUsed/>
    <w:qFormat/>
    <w:uiPriority w:val="39"/>
    <w:pPr>
      <w:keepNext/>
      <w:keepLines/>
      <w:numPr>
        <w:numId w:val="0"/>
      </w:numPr>
      <w:spacing w:before="480" w:after="0" w:line="276" w:lineRule="auto"/>
      <w:contextualSpacing w:val="0"/>
      <w:jc w:val="center"/>
      <w:outlineLvl w:val="9"/>
    </w:pPr>
    <w:rPr>
      <w:rFonts w:cstheme="majorBidi"/>
      <w:sz w:val="28"/>
      <w:szCs w:val="28"/>
      <w:lang w:val="en-US" w:eastAsia="en-US"/>
    </w:rPr>
  </w:style>
  <w:style w:type="character" w:customStyle="1" w:styleId="49">
    <w:name w:val="页眉 字符"/>
    <w:basedOn w:val="28"/>
    <w:link w:val="18"/>
    <w:qFormat/>
    <w:uiPriority w:val="99"/>
    <w:rPr>
      <w:rFonts w:ascii="Times New Roman" w:hAnsi="Times New Roman" w:eastAsia="宋体"/>
    </w:rPr>
  </w:style>
  <w:style w:type="character" w:customStyle="1" w:styleId="50">
    <w:name w:val="页脚 字符"/>
    <w:basedOn w:val="28"/>
    <w:link w:val="17"/>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B921-CD5F-8D43-8598-9D9BB4B19B1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7383</Words>
  <Characters>7865</Characters>
  <Lines>60</Lines>
  <Paragraphs>17</Paragraphs>
  <TotalTime>2</TotalTime>
  <ScaleCrop>false</ScaleCrop>
  <LinksUpToDate>false</LinksUpToDate>
  <CharactersWithSpaces>7995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2026-04-27T13:03:00Z</dcterms:created>
  <dc:creator>Jing Liu</dc:creator>
  <cp:lastModifiedBy>王松</cp:lastModifiedBy>
  <dcterms:modified xsi:type="dcterms:W3CDTF">2026-06-02T00:23:02Z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eyJoZGlkIjoiZGZkNDYyNzRlNGQ3ZGI0MmE5MTRhMjM1NWI3NmQ3MzciLCJ1c2VySWQiOiI0Mjk4MTQ1MzgifQ==</vt:lpwstr>
  </property>
  <property fmtid="{D5CDD505-2E9C-101B-9397-08002B2CF9AE}" pid="3" name="KSOProductBuildVer">
    <vt:lpwstr>2052-12.1.0.26375</vt:lpwstr>
  </property>
  <property fmtid="{D5CDD505-2E9C-101B-9397-08002B2CF9AE}" pid="4" name="ICV">
    <vt:lpwstr>009EEF910A794FCF83E67BB8F38E4901_13</vt:lpwstr>
  </property>
</Properties>
</file>