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42B7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D81C1ED">
            <w:pPr>
              <w:pStyle w:val="18"/>
              <w:framePr w:wrap="notBeside" w:vAnchor="page" w:hAnchor="page" w:x="1372" w:y="568"/>
              <w:tabs>
                <w:tab w:val="clear" w:pos="4153"/>
                <w:tab w:val="clear" w:pos="8306"/>
              </w:tabs>
              <w:spacing w:line="240" w:lineRule="auto"/>
              <w:jc w:val="left"/>
              <w:rPr>
                <w:rFonts w:ascii="黑体" w:hAnsi="黑体" w:eastAsia="黑体"/>
                <w:sz w:val="21"/>
                <w:szCs w:val="21"/>
              </w:rPr>
            </w:pPr>
            <w:bookmarkStart w:id="61" w:name="_GoBack"/>
            <w:bookmarkEnd w:id="61"/>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BDF0EED">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01.020</w:t>
            </w:r>
            <w:r>
              <w:rPr>
                <w:rFonts w:ascii="黑体" w:hAnsi="黑体" w:eastAsia="黑体"/>
                <w:sz w:val="21"/>
                <w:szCs w:val="21"/>
              </w:rPr>
              <w:fldChar w:fldCharType="end"/>
            </w:r>
            <w:bookmarkEnd w:id="0"/>
          </w:p>
        </w:tc>
      </w:tr>
      <w:tr w14:paraId="1602A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5A4D334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08DC88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5303C661">
                  <w:pPr>
                    <w:pStyle w:val="49"/>
                    <w:framePr w:wrap="notBeside" w:vAnchor="page" w:hAnchor="page" w:x="1372" w:y="568"/>
                    <w:ind w:left="420" w:right="624"/>
                    <w:rPr>
                      <w:rFonts w:ascii="宋体" w:hAnsi="宋体"/>
                      <w:sz w:val="28"/>
                      <w:szCs w:val="28"/>
                    </w:rPr>
                  </w:pPr>
                </w:p>
              </w:tc>
            </w:tr>
          </w:tbl>
          <w:p w14:paraId="4455BA37">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H</w:t>
            </w:r>
            <w:r>
              <w:rPr>
                <w:rFonts w:ascii="黑体" w:hAnsi="黑体" w:eastAsia="黑体"/>
                <w:sz w:val="21"/>
                <w:szCs w:val="21"/>
              </w:rPr>
              <w:t xml:space="preserve"> 62</w:t>
            </w:r>
            <w:r>
              <w:rPr>
                <w:rFonts w:ascii="黑体" w:hAnsi="黑体" w:eastAsia="黑体"/>
                <w:sz w:val="21"/>
                <w:szCs w:val="21"/>
              </w:rPr>
              <w:fldChar w:fldCharType="end"/>
            </w:r>
            <w:bookmarkEnd w:id="1"/>
          </w:p>
        </w:tc>
      </w:tr>
    </w:tbl>
    <w:p w14:paraId="0B7EDE35">
      <w:pPr>
        <w:pStyle w:val="50"/>
        <w:framePr w:w="9639" w:h="624" w:hRule="exact" w:hSpace="181" w:vSpace="181" w:wrap="around" w:hAnchor="page" w:x="1305" w:y="2269"/>
        <w:rPr>
          <w:rFonts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05561FD0">
      <w:pPr>
        <w:pStyle w:val="195"/>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DLAS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22</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2026</w:t>
      </w:r>
      <w:r>
        <w:fldChar w:fldCharType="end"/>
      </w:r>
      <w:bookmarkEnd w:id="5"/>
    </w:p>
    <w:p w14:paraId="313BF1A5">
      <w:pPr>
        <w:pStyle w:val="196"/>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00B6112B">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6E54D2A">
      <w:pPr>
        <w:pStyle w:val="50"/>
        <w:framePr w:w="9639" w:h="6976" w:hRule="exact" w:hSpace="0" w:vSpace="0" w:wrap="around" w:hAnchor="page" w:y="6408"/>
        <w:jc w:val="center"/>
        <w:rPr>
          <w:rFonts w:ascii="黑体" w:hAnsi="黑体" w:eastAsia="黑体"/>
          <w:b w:val="0"/>
          <w:bCs w:val="0"/>
          <w:w w:val="100"/>
        </w:rPr>
      </w:pPr>
    </w:p>
    <w:p w14:paraId="5EF095A1">
      <w:pPr>
        <w:pStyle w:val="197"/>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网络餐饮服务管理规范</w:t>
      </w:r>
      <w:r>
        <w:fldChar w:fldCharType="end"/>
      </w:r>
      <w:bookmarkEnd w:id="7"/>
    </w:p>
    <w:p w14:paraId="4B048077">
      <w:pPr>
        <w:framePr w:w="9639" w:h="6974" w:hRule="exact" w:wrap="around" w:vAnchor="page" w:hAnchor="page" w:x="1419" w:y="6408" w:anchorLock="1"/>
        <w:ind w:left="-1418"/>
      </w:pPr>
    </w:p>
    <w:p w14:paraId="4C77DE5E">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Specification</w:t>
      </w:r>
      <w:r>
        <w:rPr>
          <w:rFonts w:eastAsia="黑体"/>
          <w:szCs w:val="28"/>
        </w:rPr>
        <w:t xml:space="preserve"> for online catering service management</w:t>
      </w:r>
      <w:r>
        <w:rPr>
          <w:rFonts w:eastAsia="黑体"/>
          <w:szCs w:val="28"/>
        </w:rPr>
        <w:fldChar w:fldCharType="end"/>
      </w:r>
      <w:bookmarkEnd w:id="8"/>
    </w:p>
    <w:p w14:paraId="1177BBD9">
      <w:pPr>
        <w:framePr w:w="9639" w:h="6974" w:hRule="exact" w:wrap="around" w:vAnchor="page" w:hAnchor="page" w:x="1419" w:y="6408" w:anchorLock="1"/>
        <w:spacing w:line="760" w:lineRule="exact"/>
        <w:ind w:left="-1418"/>
      </w:pPr>
    </w:p>
    <w:p w14:paraId="12F8880E">
      <w:pPr>
        <w:pStyle w:val="193"/>
        <w:framePr w:wrap="around" w:y="14176"/>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03</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15</w:t>
      </w:r>
      <w:r>
        <w:rPr>
          <w:rFonts w:ascii="黑体"/>
        </w:rPr>
        <w:fldChar w:fldCharType="end"/>
      </w:r>
      <w:bookmarkEnd w:id="11"/>
      <w:r>
        <w:rPr>
          <w:rFonts w:hint="eastAsia"/>
        </w:rPr>
        <w:t>发布</w:t>
      </w:r>
    </w:p>
    <w:p w14:paraId="460863E9">
      <w:pPr>
        <w:pStyle w:val="194"/>
        <w:framePr w:wrap="around" w:y="141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03</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30</w:t>
      </w:r>
      <w:r>
        <w:rPr>
          <w:rFonts w:ascii="黑体"/>
        </w:rPr>
        <w:fldChar w:fldCharType="end"/>
      </w:r>
      <w:bookmarkEnd w:id="14"/>
      <w:r>
        <w:rPr>
          <w:rFonts w:hint="eastAsia"/>
        </w:rPr>
        <w:t>实施</w:t>
      </w:r>
    </w:p>
    <w:p w14:paraId="1CF48536">
      <w:pPr>
        <w:pStyle w:val="151"/>
        <w:framePr w:h="775" w:hRule="exact" w:hSpace="181" w:vSpace="181" w:wrap="around" w:y="14800"/>
        <w:rPr>
          <w:rFonts w:hAnsi="黑体"/>
          <w:w w:val="100"/>
          <w:sz w:val="28"/>
        </w:rPr>
      </w:pPr>
      <w:r>
        <w:rPr>
          <w:rFonts w:hAnsi="黑体"/>
          <w:w w:val="100"/>
          <w:sz w:val="28"/>
        </w:rPr>
        <w:t xml:space="preserve">   </w:t>
      </w:r>
      <w:r>
        <w:rPr>
          <w:rFonts w:hAnsi="黑体"/>
          <w:w w:val="100"/>
          <w:sz w:val="28"/>
        </w:rPr>
        <w:fldChar w:fldCharType="begin">
          <w:ffData>
            <w:name w:val="fm"/>
            <w:enabled/>
            <w:calcOnExit w:val="0"/>
            <w:textInput/>
          </w:ffData>
        </w:fldChar>
      </w:r>
      <w:bookmarkStart w:id="15" w:name="fm"/>
      <w:r>
        <w:rPr>
          <w:rFonts w:hAnsi="黑体"/>
          <w:w w:val="100"/>
          <w:sz w:val="28"/>
        </w:rPr>
        <w:instrText xml:space="preserve"> FORMTEXT </w:instrText>
      </w:r>
      <w:r>
        <w:rPr>
          <w:rFonts w:hAnsi="黑体"/>
          <w:w w:val="100"/>
          <w:sz w:val="28"/>
        </w:rPr>
        <w:fldChar w:fldCharType="separate"/>
      </w:r>
      <w:r>
        <w:rPr>
          <w:rFonts w:hint="eastAsia" w:hAnsi="黑体"/>
          <w:w w:val="100"/>
          <w:sz w:val="28"/>
        </w:rPr>
        <w:t>大连市标准化协会</w:t>
      </w:r>
      <w:r>
        <w:rPr>
          <w:rFonts w:hAnsi="黑体"/>
          <w:w w:val="100"/>
          <w:sz w:val="28"/>
        </w:rPr>
        <w:fldChar w:fldCharType="end"/>
      </w:r>
      <w:bookmarkEnd w:id="15"/>
    </w:p>
    <w:p w14:paraId="1A4F3E38">
      <w:pPr>
        <w:pStyle w:val="151"/>
        <w:framePr w:h="775" w:hRule="exact" w:hSpace="181" w:vSpace="181" w:wrap="around" w:y="14800"/>
        <w:ind w:firstLine="2800" w:firstLineChars="1000"/>
        <w:jc w:val="both"/>
        <w:rPr>
          <w:rFonts w:hAnsi="黑体"/>
        </w:rPr>
      </w:pPr>
      <w:r>
        <w:rPr>
          <w:rFonts w:hAnsi="黑体"/>
          <w:w w:val="100"/>
          <w:sz w:val="28"/>
        </w:rPr>
        <w:t>大连市饭店协会</w:t>
      </w:r>
      <w:r>
        <w:rPr>
          <w:rFonts w:ascii="Times New Roman"/>
          <w:w w:val="100"/>
          <w:sz w:val="28"/>
        </w:rPr>
        <w:t>  </w:t>
      </w:r>
      <w:r>
        <w:rPr>
          <w:rFonts w:hAnsi="黑体"/>
        </w:rPr>
        <w:t xml:space="preserve"> </w:t>
      </w:r>
    </w:p>
    <w:p w14:paraId="4C98A324">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1312" behindDoc="0" locked="0" layoutInCell="1" allowOverlap="1">
                <wp:simplePos x="0" y="0"/>
                <wp:positionH relativeFrom="column">
                  <wp:posOffset>4010660</wp:posOffset>
                </wp:positionH>
                <wp:positionV relativeFrom="paragraph">
                  <wp:posOffset>7122160</wp:posOffset>
                </wp:positionV>
                <wp:extent cx="680085" cy="354965"/>
                <wp:effectExtent l="0" t="0" r="0" b="0"/>
                <wp:wrapNone/>
                <wp:docPr id="4" name="矩形 4"/>
                <wp:cNvGraphicFramePr/>
                <a:graphic xmlns:a="http://schemas.openxmlformats.org/drawingml/2006/main">
                  <a:graphicData uri="http://schemas.microsoft.com/office/word/2010/wordprocessingShape">
                    <wps:wsp>
                      <wps:cNvSpPr/>
                      <wps:spPr>
                        <a:xfrm>
                          <a:off x="0" y="0"/>
                          <a:ext cx="680132" cy="355181"/>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649639D">
                            <w:pP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发 布</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5.8pt;margin-top:560.8pt;height:27.95pt;width:53.55pt;z-index:251661312;v-text-anchor:middle;mso-width-relative:page;mso-height-relative:page;" filled="f" stroked="f" coordsize="21600,21600" o:gfxdata="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5PIztdkAAAANAQAADwAAAAAAAAABACAAAAAiAAAAZHJzL2Rvd25yZXYueG1sUEsBAhQAFAAA&#10;AAgAh07iQGlNvLVgAgAArAQAAA4AAAAAAAAAAQAgAAAAKAEAAGRycy9lMm9Eb2MueG1sUEsFBgAA&#10;AAAGAAYAWQEAAPoFAAAAAA==&#10;">
                <v:fill on="f" focussize="0,0"/>
                <v:stroke on="f" weight="1pt" miterlimit="8" joinstyle="miter"/>
                <v:imagedata o:title=""/>
                <o:lock v:ext="edit" aspectratio="f"/>
                <v:textbox>
                  <w:txbxContent>
                    <w:p w14:paraId="7649639D">
                      <w:pP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发 布</w:t>
                      </w:r>
                    </w:p>
                  </w:txbxContent>
                </v:textbox>
              </v:rect>
            </w:pict>
          </mc:Fallback>
        </mc:AlternateContent>
      </w: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7B1DC293">
      <w:pPr>
        <w:pStyle w:val="89"/>
        <w:spacing w:before="900" w:after="360"/>
      </w:pPr>
      <w:bookmarkStart w:id="16" w:name="BookMark2"/>
      <w:r>
        <w:rPr>
          <w:spacing w:val="320"/>
        </w:rPr>
        <w:t>前</w:t>
      </w:r>
      <w:r>
        <w:t>言</w:t>
      </w:r>
    </w:p>
    <w:p w14:paraId="0EA502E1">
      <w:pPr>
        <w:pStyle w:val="56"/>
        <w:ind w:firstLine="420"/>
      </w:pPr>
      <w:r>
        <w:rPr>
          <w:rFonts w:hint="eastAsia"/>
        </w:rPr>
        <w:t>本文件按照GB/T 1.1—2020《标准化工作导则  第1部分：标准化文件的结构和起草规则》的规定起草。</w:t>
      </w:r>
    </w:p>
    <w:p w14:paraId="6272C8F5">
      <w:pPr>
        <w:pStyle w:val="56"/>
        <w:ind w:firstLine="420"/>
      </w:pPr>
      <w:r>
        <w:rPr>
          <w:rFonts w:hint="eastAsia"/>
        </w:rPr>
        <w:t>本文件由大连市饭店协会</w:t>
      </w:r>
      <w:r>
        <w:rPr>
          <w:rFonts w:hint="eastAsia"/>
          <w:lang w:val="en-US" w:eastAsia="zh-CN"/>
        </w:rPr>
        <w:t>和</w:t>
      </w:r>
      <w:r>
        <w:rPr>
          <w:rFonts w:hint="eastAsia"/>
        </w:rPr>
        <w:t>大连市标准化协会</w:t>
      </w:r>
      <w:r>
        <w:rPr>
          <w:rFonts w:hint="eastAsia"/>
          <w:lang w:val="en-US" w:eastAsia="zh-CN"/>
        </w:rPr>
        <w:t>联合</w:t>
      </w:r>
      <w:r>
        <w:rPr>
          <w:rFonts w:hint="eastAsia"/>
        </w:rPr>
        <w:t>提出。</w:t>
      </w:r>
    </w:p>
    <w:p w14:paraId="4ED2B52D">
      <w:pPr>
        <w:pStyle w:val="56"/>
        <w:ind w:firstLine="420"/>
      </w:pPr>
      <w:r>
        <w:rPr>
          <w:rFonts w:hint="eastAsia"/>
        </w:rPr>
        <w:t>本文件由</w:t>
      </w:r>
      <w:bookmarkStart w:id="17" w:name="OLE_LINK17"/>
      <w:bookmarkStart w:id="18" w:name="OLE_LINK16"/>
      <w:r>
        <w:rPr>
          <w:rFonts w:hint="eastAsia"/>
        </w:rPr>
        <w:t>大连市标准化协会</w:t>
      </w:r>
      <w:bookmarkEnd w:id="17"/>
      <w:bookmarkEnd w:id="18"/>
      <w:r>
        <w:rPr>
          <w:rFonts w:hint="eastAsia"/>
          <w:lang w:val="en-US" w:eastAsia="zh-CN"/>
        </w:rPr>
        <w:t>和</w:t>
      </w:r>
      <w:r>
        <w:rPr>
          <w:rFonts w:hint="eastAsia"/>
        </w:rPr>
        <w:t>大连市饭店协会归口。</w:t>
      </w:r>
    </w:p>
    <w:p w14:paraId="0C9FB62C">
      <w:pPr>
        <w:pStyle w:val="56"/>
        <w:ind w:firstLine="420"/>
      </w:pPr>
      <w:r>
        <w:rPr>
          <w:rFonts w:hint="eastAsia"/>
        </w:rPr>
        <w:t>本文件起草单位：</w:t>
      </w:r>
      <w:bookmarkStart w:id="19" w:name="OLE_LINK19"/>
      <w:bookmarkStart w:id="20" w:name="OLE_LINK18"/>
      <w:r>
        <w:rPr>
          <w:rFonts w:hint="eastAsia"/>
        </w:rPr>
        <w:t>大连市市场监督管理局</w:t>
      </w:r>
      <w:r>
        <w:rPr>
          <w:rFonts w:hint="eastAsia"/>
          <w:lang w:eastAsia="zh-CN"/>
        </w:rPr>
        <w:t>、</w:t>
      </w:r>
      <w:r>
        <w:rPr>
          <w:rFonts w:hint="eastAsia"/>
        </w:rPr>
        <w:t>大连标准认证研究院有限公司</w:t>
      </w:r>
      <w:r>
        <w:rPr>
          <w:rFonts w:hint="eastAsia"/>
          <w:lang w:eastAsia="zh-CN"/>
        </w:rPr>
        <w:t>、</w:t>
      </w:r>
      <w:r>
        <w:rPr>
          <w:rFonts w:hint="eastAsia"/>
        </w:rPr>
        <w:t>大连市饭店协会</w:t>
      </w:r>
      <w:bookmarkEnd w:id="19"/>
      <w:bookmarkEnd w:id="20"/>
      <w:r>
        <w:rPr>
          <w:rFonts w:hint="eastAsia"/>
        </w:rPr>
        <w:t>。</w:t>
      </w:r>
    </w:p>
    <w:p w14:paraId="08F25DCD">
      <w:pPr>
        <w:pStyle w:val="56"/>
        <w:ind w:firstLine="420"/>
      </w:pPr>
      <w:r>
        <w:rPr>
          <w:rFonts w:hint="eastAsia"/>
        </w:rPr>
        <w:t>本文件主要起草人：</w:t>
      </w:r>
    </w:p>
    <w:p w14:paraId="78AA57EB">
      <w:pPr>
        <w:pStyle w:val="56"/>
        <w:ind w:firstLine="420"/>
      </w:pPr>
    </w:p>
    <w:p w14:paraId="17E2649C">
      <w:pPr>
        <w:pStyle w:val="56"/>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16"/>
    <w:p w14:paraId="3C0F85CE">
      <w:pPr>
        <w:spacing w:line="20" w:lineRule="exact"/>
        <w:jc w:val="center"/>
        <w:rPr>
          <w:rFonts w:ascii="黑体" w:hAnsi="黑体" w:eastAsia="黑体"/>
          <w:sz w:val="32"/>
          <w:szCs w:val="32"/>
        </w:rPr>
      </w:pPr>
      <w:bookmarkStart w:id="21" w:name="BookMark4"/>
    </w:p>
    <w:p w14:paraId="6AB4C9E0">
      <w:pPr>
        <w:spacing w:line="20" w:lineRule="exact"/>
        <w:jc w:val="center"/>
        <w:rPr>
          <w:rFonts w:ascii="黑体" w:hAnsi="黑体" w:eastAsia="黑体"/>
          <w:sz w:val="32"/>
          <w:szCs w:val="32"/>
        </w:rPr>
      </w:pPr>
    </w:p>
    <w:sdt>
      <w:sdtPr>
        <w:tag w:val="NEW_STAND_NAME"/>
        <w:id w:val="595910757"/>
        <w:lock w:val="sdtLocked"/>
        <w:placeholder>
          <w:docPart w:val="016AE416EF264F5EBEA02D2E1E1AE856"/>
        </w:placeholder>
      </w:sdtPr>
      <w:sdtContent>
        <w:p w14:paraId="7E19ED10">
          <w:pPr>
            <w:pStyle w:val="177"/>
            <w:spacing w:before="240" w:beforeLines="100" w:after="528" w:afterLines="220"/>
          </w:pPr>
          <w:bookmarkStart w:id="22" w:name="NEW_STAND_NAME"/>
          <w:r>
            <w:rPr>
              <w:rFonts w:hint="eastAsia"/>
            </w:rPr>
            <w:t>网络餐饮服务管理规范</w:t>
          </w:r>
        </w:p>
      </w:sdtContent>
    </w:sdt>
    <w:bookmarkEnd w:id="22"/>
    <w:p w14:paraId="000995F7">
      <w:pPr>
        <w:pStyle w:val="104"/>
        <w:spacing w:before="240" w:after="240"/>
      </w:pPr>
      <w:bookmarkStart w:id="23" w:name="_Toc26648465"/>
      <w:bookmarkStart w:id="24" w:name="_Toc26718930"/>
      <w:bookmarkStart w:id="25" w:name="_Toc97192964"/>
      <w:bookmarkStart w:id="26" w:name="_Toc17233325"/>
      <w:bookmarkStart w:id="27" w:name="_Toc17233333"/>
      <w:bookmarkStart w:id="28" w:name="_Toc24884218"/>
      <w:bookmarkStart w:id="29" w:name="_Toc24884211"/>
      <w:bookmarkStart w:id="30" w:name="_Toc26986530"/>
      <w:bookmarkStart w:id="31" w:name="_Toc26986771"/>
      <w:r>
        <w:rPr>
          <w:rFonts w:hint="eastAsia"/>
        </w:rPr>
        <w:t>范围</w:t>
      </w:r>
      <w:bookmarkEnd w:id="23"/>
      <w:bookmarkEnd w:id="24"/>
      <w:bookmarkEnd w:id="25"/>
      <w:bookmarkEnd w:id="26"/>
      <w:bookmarkEnd w:id="27"/>
      <w:bookmarkEnd w:id="28"/>
      <w:bookmarkEnd w:id="29"/>
      <w:bookmarkEnd w:id="30"/>
      <w:bookmarkEnd w:id="31"/>
    </w:p>
    <w:p w14:paraId="6DEDB247">
      <w:pPr>
        <w:pStyle w:val="56"/>
        <w:ind w:firstLine="420"/>
      </w:pPr>
      <w:bookmarkStart w:id="32" w:name="_Toc17233334"/>
      <w:bookmarkStart w:id="33" w:name="_Toc24884212"/>
      <w:bookmarkStart w:id="34" w:name="_Toc24884219"/>
      <w:bookmarkStart w:id="35" w:name="_Toc26648466"/>
      <w:bookmarkStart w:id="36" w:name="_Toc17233326"/>
      <w:r>
        <w:rPr>
          <w:rFonts w:hint="eastAsia"/>
        </w:rPr>
        <w:t>本文件规定了网络餐饮服务的基本要求、平台提供者管理要求、入网餐饮服务提供者要求、配送服务提供者要求、应急与投诉处理及评价与改进等内容。</w:t>
      </w:r>
    </w:p>
    <w:p w14:paraId="0D5F3212">
      <w:pPr>
        <w:pStyle w:val="56"/>
        <w:ind w:firstLine="420"/>
      </w:pPr>
      <w:r>
        <w:rPr>
          <w:rFonts w:hint="eastAsia"/>
        </w:rPr>
        <w:t>本文件适用于网络餐饮经营相关方餐饮服务管理及评价。</w:t>
      </w:r>
    </w:p>
    <w:p w14:paraId="2DEC7B32">
      <w:pPr>
        <w:pStyle w:val="104"/>
        <w:spacing w:before="240" w:after="240"/>
      </w:pPr>
      <w:bookmarkStart w:id="37" w:name="_Toc26986772"/>
      <w:bookmarkStart w:id="38" w:name="_Toc26986531"/>
      <w:bookmarkStart w:id="39" w:name="_Toc26718931"/>
      <w:bookmarkStart w:id="40" w:name="_Toc97192965"/>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5BD986E9918E4363ADD46E93FC27965C"/>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3EAF9C8B">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B9DD1D3">
      <w:pPr>
        <w:pStyle w:val="56"/>
        <w:ind w:firstLine="420"/>
      </w:pPr>
      <w:bookmarkStart w:id="41" w:name="OLE_LINK7"/>
      <w:bookmarkStart w:id="42" w:name="OLE_LINK8"/>
      <w:r>
        <w:t>GB 31654</w:t>
      </w:r>
      <w:bookmarkEnd w:id="41"/>
      <w:bookmarkEnd w:id="42"/>
      <w:r>
        <w:t xml:space="preserve">  </w:t>
      </w:r>
      <w:r>
        <w:rPr>
          <w:rFonts w:hint="eastAsia"/>
        </w:rPr>
        <w:t>食品安全国家标准 餐饮服务通用卫生规范</w:t>
      </w:r>
    </w:p>
    <w:p w14:paraId="643DE19E">
      <w:pPr>
        <w:pStyle w:val="56"/>
        <w:ind w:firstLine="420"/>
      </w:pPr>
      <w:r>
        <w:t xml:space="preserve">GB/T 40041  </w:t>
      </w:r>
      <w:r>
        <w:rPr>
          <w:rFonts w:hint="eastAsia"/>
        </w:rPr>
        <w:t>外卖餐饮品信息描述规范</w:t>
      </w:r>
    </w:p>
    <w:p w14:paraId="56AC5721">
      <w:pPr>
        <w:pStyle w:val="104"/>
        <w:spacing w:before="240" w:after="240"/>
      </w:pPr>
      <w:bookmarkStart w:id="43" w:name="_Toc97192966"/>
      <w:r>
        <w:rPr>
          <w:rFonts w:hint="eastAsia"/>
          <w:szCs w:val="21"/>
        </w:rPr>
        <w:t>术语和定义</w:t>
      </w:r>
      <w:bookmarkEnd w:id="43"/>
    </w:p>
    <w:sdt>
      <w:sdtPr>
        <w:id w:val="-1909835108"/>
        <w:placeholder>
          <w:docPart w:val="6DD3FCA080C44810A2B65041308D4CF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72C1E96F">
          <w:pPr>
            <w:pStyle w:val="56"/>
            <w:ind w:firstLine="420"/>
          </w:pPr>
          <w:bookmarkStart w:id="44" w:name="_Toc26986532"/>
          <w:bookmarkEnd w:id="44"/>
          <w:r>
            <w:t>下列术语和定义适用于本文件。</w:t>
          </w:r>
        </w:p>
      </w:sdtContent>
    </w:sdt>
    <w:p w14:paraId="66117C32">
      <w:pPr>
        <w:pStyle w:val="223"/>
        <w:ind w:left="420" w:hanging="420" w:hangingChars="200"/>
        <w:rPr>
          <w:rFonts w:ascii="黑体" w:hAnsi="黑体" w:eastAsia="黑体"/>
        </w:rPr>
      </w:pPr>
    </w:p>
    <w:p w14:paraId="4E7394CB">
      <w:pPr>
        <w:pStyle w:val="223"/>
        <w:numPr>
          <w:ilvl w:val="0"/>
          <w:numId w:val="0"/>
        </w:numPr>
        <w:ind w:left="420"/>
        <w:rPr>
          <w:rFonts w:ascii="黑体" w:hAnsi="黑体" w:eastAsia="黑体"/>
        </w:rPr>
      </w:pPr>
      <w:bookmarkStart w:id="45" w:name="OLE_LINK3"/>
      <w:bookmarkStart w:id="46" w:name="OLE_LINK4"/>
      <w:r>
        <w:rPr>
          <w:rFonts w:hint="eastAsia" w:ascii="黑体" w:hAnsi="黑体" w:eastAsia="黑体"/>
        </w:rPr>
        <w:t>网络餐饮服务经营者</w:t>
      </w:r>
      <w:bookmarkEnd w:id="45"/>
      <w:bookmarkEnd w:id="46"/>
      <w:r>
        <w:rPr>
          <w:rFonts w:hint="eastAsia" w:ascii="黑体" w:hAnsi="黑体" w:eastAsia="黑体"/>
        </w:rPr>
        <w:t xml:space="preserve"> </w:t>
      </w:r>
      <w:r>
        <w:rPr>
          <w:rFonts w:ascii="黑体" w:hAnsi="黑体" w:eastAsia="黑体"/>
        </w:rPr>
        <w:t xml:space="preserve"> </w:t>
      </w:r>
      <w:r>
        <w:rPr>
          <w:rFonts w:hint="eastAsia" w:ascii="黑体" w:hAnsi="黑体" w:eastAsia="黑体"/>
        </w:rPr>
        <w:t>operators</w:t>
      </w:r>
      <w:r>
        <w:rPr>
          <w:rFonts w:ascii="黑体" w:hAnsi="黑体" w:eastAsia="黑体"/>
        </w:rPr>
        <w:t xml:space="preserve"> of online catering services</w:t>
      </w:r>
    </w:p>
    <w:p w14:paraId="41F563AA">
      <w:pPr>
        <w:pStyle w:val="56"/>
        <w:ind w:firstLine="420"/>
      </w:pPr>
      <w:r>
        <w:rPr>
          <w:rFonts w:hint="eastAsia"/>
        </w:rPr>
        <w:t>在网络餐饮服务活动中，网络餐饮服务经营者包括网络食品交易第三方平台提供者（以下简称“平台提供者”）、通过网络食品交易第三方平台或者自建网站提供餐饮服务的经营者（以下简称“入网餐饮服务提供者”）。</w:t>
      </w:r>
    </w:p>
    <w:p w14:paraId="51934C99">
      <w:pPr>
        <w:pStyle w:val="223"/>
        <w:ind w:left="420" w:hanging="420" w:hangingChars="200"/>
        <w:rPr>
          <w:rFonts w:ascii="黑体" w:hAnsi="黑体" w:eastAsia="黑体"/>
        </w:rPr>
      </w:pPr>
      <w:r>
        <w:rPr>
          <w:rFonts w:ascii="黑体" w:hAnsi="黑体" w:eastAsia="黑体"/>
          <w:color w:val="000000"/>
          <w:highlight w:val="lightGray"/>
          <w14:scene3d>
            <w14:lightRig w14:rig="threePt" w14:dir="t">
              <w14:rot w14:lat="0" w14:lon="0" w14:rev="0"/>
            </w14:lightRig>
          </w14:scene3d>
        </w:rPr>
        <w:br w:type="textWrapping"/>
      </w:r>
      <w:r>
        <w:rPr>
          <w:rFonts w:hint="eastAsia" w:ascii="黑体" w:hAnsi="黑体" w:eastAsia="黑体"/>
        </w:rPr>
        <w:t xml:space="preserve">平台提供者 </w:t>
      </w:r>
      <w:r>
        <w:rPr>
          <w:rFonts w:ascii="黑体" w:hAnsi="黑体" w:eastAsia="黑体"/>
        </w:rPr>
        <w:t xml:space="preserve"> platform provider</w:t>
      </w:r>
    </w:p>
    <w:p w14:paraId="390CD373">
      <w:pPr>
        <w:pStyle w:val="56"/>
        <w:ind w:firstLine="420"/>
      </w:pPr>
      <w:r>
        <w:rPr>
          <w:rFonts w:hint="eastAsia"/>
        </w:rPr>
        <w:t>在网络餐饮服务活动中，为入网餐饮服务经营者与消费者提供网络经营场所、交易撮合、信息发布、订单管理、资金结算等服务的法人或者其他组织。</w:t>
      </w:r>
    </w:p>
    <w:p w14:paraId="12B41AD6">
      <w:pPr>
        <w:pStyle w:val="223"/>
        <w:ind w:left="420" w:hanging="420" w:hangingChars="200"/>
        <w:rPr>
          <w:rFonts w:ascii="黑体" w:hAnsi="黑体" w:eastAsia="黑体"/>
        </w:rPr>
      </w:pPr>
      <w:r>
        <w:rPr>
          <w:rFonts w:ascii="黑体" w:hAnsi="黑体" w:eastAsia="黑体"/>
          <w:highlight w:val="lightGray"/>
          <w14:scene3d>
            <w14:lightRig w14:rig="threePt" w14:dir="t">
              <w14:rot w14:lat="0" w14:lon="0" w14:rev="0"/>
            </w14:lightRig>
          </w14:scene3d>
        </w:rPr>
        <w:br w:type="textWrapping"/>
      </w:r>
      <w:bookmarkStart w:id="47" w:name="OLE_LINK6"/>
      <w:bookmarkStart w:id="48" w:name="OLE_LINK5"/>
      <w:r>
        <w:rPr>
          <w:rFonts w:ascii="黑体" w:hAnsi="黑体" w:eastAsia="黑体"/>
        </w:rPr>
        <w:t>入网餐饮服务提供者</w:t>
      </w:r>
      <w:bookmarkEnd w:id="47"/>
      <w:bookmarkEnd w:id="48"/>
      <w:r>
        <w:rPr>
          <w:rFonts w:hint="eastAsia" w:ascii="黑体" w:hAnsi="黑体" w:eastAsia="黑体"/>
        </w:rPr>
        <w:t xml:space="preserve"> </w:t>
      </w:r>
      <w:r>
        <w:rPr>
          <w:rFonts w:ascii="黑体" w:hAnsi="黑体" w:eastAsia="黑体"/>
        </w:rPr>
        <w:t xml:space="preserve"> online catering service provider</w:t>
      </w:r>
    </w:p>
    <w:p w14:paraId="1303E974">
      <w:pPr>
        <w:pStyle w:val="56"/>
        <w:ind w:firstLine="420"/>
      </w:pPr>
      <w:r>
        <w:rPr>
          <w:rFonts w:hint="eastAsia"/>
        </w:rPr>
        <w:t>通过第三方平台或者自建网站（含小程序、APP等）从事网络餐饮服务经营的餐饮服务经营者，包括有堂食经营资质并提供外卖服务、无堂食专做外卖服务的各类餐饮服务经营主体。</w:t>
      </w:r>
    </w:p>
    <w:p w14:paraId="7DAE0115">
      <w:pPr>
        <w:pStyle w:val="223"/>
        <w:ind w:left="420" w:hanging="420" w:hangingChars="200"/>
        <w:rPr>
          <w:rFonts w:ascii="黑体" w:hAnsi="黑体" w:eastAsia="黑体"/>
        </w:rPr>
      </w:pPr>
      <w:r>
        <w:rPr>
          <w:rFonts w:ascii="黑体" w:hAnsi="黑体" w:eastAsia="黑体"/>
        </w:rPr>
        <w:br w:type="textWrapping"/>
      </w:r>
      <w:r>
        <w:rPr>
          <w:rFonts w:ascii="黑体" w:hAnsi="黑体" w:eastAsia="黑体"/>
        </w:rPr>
        <w:t>配送服务</w:t>
      </w:r>
      <w:r>
        <w:rPr>
          <w:rFonts w:hint="eastAsia" w:ascii="黑体" w:hAnsi="黑体" w:eastAsia="黑体"/>
        </w:rPr>
        <w:t>提供者</w:t>
      </w:r>
      <w:r>
        <w:rPr>
          <w:rFonts w:ascii="黑体" w:hAnsi="黑体" w:eastAsia="黑体"/>
        </w:rPr>
        <w:t xml:space="preserve"> </w:t>
      </w:r>
      <w:bookmarkStart w:id="49" w:name="OLE_LINK9"/>
      <w:bookmarkStart w:id="50" w:name="OLE_LINK10"/>
      <w:r>
        <w:rPr>
          <w:rFonts w:ascii="黑体" w:hAnsi="黑体" w:eastAsia="黑体"/>
        </w:rPr>
        <w:t xml:space="preserve">delivery service </w:t>
      </w:r>
      <w:bookmarkEnd w:id="49"/>
      <w:bookmarkEnd w:id="50"/>
      <w:r>
        <w:rPr>
          <w:rFonts w:ascii="黑体" w:hAnsi="黑体" w:eastAsia="黑体"/>
        </w:rPr>
        <w:t>provider</w:t>
      </w:r>
    </w:p>
    <w:p w14:paraId="357CF325">
      <w:pPr>
        <w:pStyle w:val="56"/>
        <w:ind w:firstLine="420"/>
      </w:pPr>
      <w:r>
        <w:rPr>
          <w:rFonts w:hint="eastAsia"/>
        </w:rPr>
        <w:t>承接网络餐饮食品配送服务的单位（含平台自有配送团队、第三方配送企业）。</w:t>
      </w:r>
    </w:p>
    <w:p w14:paraId="7E903030">
      <w:pPr>
        <w:pStyle w:val="223"/>
        <w:ind w:left="420" w:hanging="420" w:hangingChars="200"/>
        <w:rPr>
          <w:rFonts w:ascii="黑体" w:hAnsi="黑体" w:eastAsia="黑体"/>
        </w:rPr>
      </w:pPr>
      <w:r>
        <w:rPr>
          <w:rFonts w:ascii="黑体" w:hAnsi="黑体" w:eastAsia="黑体"/>
        </w:rPr>
        <w:br w:type="textWrapping"/>
      </w:r>
      <w:r>
        <w:rPr>
          <w:rFonts w:ascii="黑体" w:hAnsi="黑体" w:eastAsia="黑体"/>
        </w:rPr>
        <w:t>食安封签</w:t>
      </w:r>
      <w:r>
        <w:rPr>
          <w:rFonts w:hint="eastAsia" w:ascii="黑体" w:hAnsi="黑体" w:eastAsia="黑体"/>
        </w:rPr>
        <w:t xml:space="preserve"> </w:t>
      </w:r>
      <w:r>
        <w:rPr>
          <w:rFonts w:ascii="黑体" w:hAnsi="黑体" w:eastAsia="黑体"/>
        </w:rPr>
        <w:t xml:space="preserve"> </w:t>
      </w:r>
      <w:r>
        <w:rPr>
          <w:rFonts w:hint="eastAsia" w:ascii="黑体" w:hAnsi="黑体" w:eastAsia="黑体"/>
        </w:rPr>
        <w:t>f</w:t>
      </w:r>
      <w:r>
        <w:rPr>
          <w:rFonts w:ascii="黑体" w:hAnsi="黑体" w:eastAsia="黑体"/>
        </w:rPr>
        <w:t>ood safety seal</w:t>
      </w:r>
    </w:p>
    <w:p w14:paraId="52F120D8">
      <w:pPr>
        <w:pStyle w:val="56"/>
        <w:ind w:firstLine="420"/>
      </w:pPr>
      <w:r>
        <w:rPr>
          <w:rFonts w:hint="eastAsia"/>
        </w:rPr>
        <w:t>入网餐饮服务经营者使用的一次性、不可重复使用的封口标识，用于封装餐饮品包装，防止餐饮品在配送环节被擅自开启、调换、污染或损毁。</w:t>
      </w:r>
    </w:p>
    <w:p w14:paraId="6C78F032">
      <w:pPr>
        <w:pStyle w:val="223"/>
        <w:ind w:left="420" w:hanging="420" w:hangingChars="200"/>
        <w:rPr>
          <w:rFonts w:ascii="黑体" w:hAnsi="黑体" w:eastAsia="黑体"/>
        </w:rPr>
      </w:pPr>
      <w:r>
        <w:rPr>
          <w:rFonts w:hAnsi="黑体"/>
        </w:rPr>
        <w:br w:type="textWrapping"/>
      </w:r>
      <w:r>
        <w:rPr>
          <w:rFonts w:hint="eastAsia" w:ascii="黑体" w:hAnsi="黑体" w:eastAsia="黑体"/>
        </w:rPr>
        <w:t xml:space="preserve">无接触配送 </w:t>
      </w:r>
      <w:r>
        <w:rPr>
          <w:rFonts w:ascii="黑体" w:hAnsi="黑体" w:eastAsia="黑体"/>
        </w:rPr>
        <w:t xml:space="preserve"> contactless </w:t>
      </w:r>
      <w:bookmarkStart w:id="51" w:name="OLE_LINK12"/>
      <w:bookmarkStart w:id="52" w:name="OLE_LINK11"/>
      <w:r>
        <w:rPr>
          <w:rFonts w:ascii="黑体" w:hAnsi="黑体" w:eastAsia="黑体"/>
        </w:rPr>
        <w:t>delivery</w:t>
      </w:r>
      <w:bookmarkEnd w:id="51"/>
      <w:bookmarkEnd w:id="52"/>
    </w:p>
    <w:p w14:paraId="4578914E">
      <w:pPr>
        <w:pStyle w:val="56"/>
        <w:ind w:firstLine="420"/>
      </w:pPr>
      <w:r>
        <w:rPr>
          <w:rFonts w:hint="eastAsia"/>
        </w:rPr>
        <w:t>平台或配送服务组织根据消费者提出的需求，安排配送人员从入网餐饮提供者处取餐饮品，通过无中转、点对点的配送方式，经与消费者协商一致，将餐饮品放置到指定位置或代收点，以保持安全距离或互相不见面的形式完成餐饮品交付的配送方式。</w:t>
      </w:r>
    </w:p>
    <w:p w14:paraId="34EB2D87">
      <w:pPr>
        <w:pStyle w:val="104"/>
        <w:spacing w:before="240" w:after="240"/>
      </w:pPr>
      <w:r>
        <w:rPr>
          <w:rFonts w:hint="eastAsia"/>
        </w:rPr>
        <w:t>基本要求</w:t>
      </w:r>
    </w:p>
    <w:p w14:paraId="7B59A5EE">
      <w:pPr>
        <w:pStyle w:val="162"/>
      </w:pPr>
      <w:bookmarkStart w:id="53" w:name="OLE_LINK15"/>
      <w:r>
        <w:rPr>
          <w:rFonts w:hint="eastAsia"/>
        </w:rPr>
        <w:t>网络餐饮服务食品安全监督管理应坚持预防为主、风险管理、社会共治的原则。</w:t>
      </w:r>
    </w:p>
    <w:p w14:paraId="4E1D1D38">
      <w:pPr>
        <w:pStyle w:val="162"/>
      </w:pPr>
      <w:r>
        <w:rPr>
          <w:rFonts w:hint="eastAsia"/>
        </w:rPr>
        <w:t>平台提供者、入网餐饮服务提供者、配送服务提供者应</w:t>
      </w:r>
      <w:r>
        <w:rPr>
          <w:rFonts w:hint="eastAsia" w:hAnsi="宋体" w:cs="宋体"/>
        </w:rPr>
        <w:t>遵循国家食品安全、电子商务相关法律法规规定，具备相关合法资质，并处于正常营业状态，诚信自律</w:t>
      </w:r>
      <w:r>
        <w:rPr>
          <w:rFonts w:hint="eastAsia"/>
        </w:rPr>
        <w:t>。</w:t>
      </w:r>
    </w:p>
    <w:p w14:paraId="52E59954">
      <w:pPr>
        <w:pStyle w:val="162"/>
      </w:pPr>
      <w:r>
        <w:rPr>
          <w:rFonts w:hint="eastAsia"/>
        </w:rPr>
        <w:t>平台提供者应明确负责食品安全管理的机构，配备与食品交易规模、食品安全风险状况相适应的</w:t>
      </w:r>
      <w:bookmarkStart w:id="54" w:name="OLE_LINK24"/>
      <w:r>
        <w:rPr>
          <w:rFonts w:hint="eastAsia"/>
        </w:rPr>
        <w:t>食品安全总监、食品安全等管理人员</w:t>
      </w:r>
      <w:bookmarkEnd w:id="54"/>
      <w:r>
        <w:rPr>
          <w:rFonts w:hint="eastAsia"/>
        </w:rPr>
        <w:t>，明确岗位职责。</w:t>
      </w:r>
    </w:p>
    <w:p w14:paraId="1BA0D7E0">
      <w:pPr>
        <w:pStyle w:val="162"/>
      </w:pPr>
      <w:r>
        <w:rPr>
          <w:rFonts w:hint="eastAsia"/>
        </w:rPr>
        <w:t>入网餐饮服务提供者应建立健全食品安全管理制度和应急预案，配备食品安全总监、食品安全员管理人员，落实</w:t>
      </w:r>
      <w:r>
        <w:t>食品安全主体责任。</w:t>
      </w:r>
    </w:p>
    <w:p w14:paraId="69AA6CD0">
      <w:pPr>
        <w:pStyle w:val="162"/>
      </w:pPr>
      <w:r>
        <w:rPr>
          <w:rFonts w:hint="eastAsia"/>
        </w:rPr>
        <w:t>入网餐饮服务提供者若经营主体类型是企业，应建立健全日管控、周排查、月调度工作机制，食品安全员每日检查做记录，食品安全总监每周至少组织次风险排查，企业主要负责人每月至少开展一次调度工作。</w:t>
      </w:r>
    </w:p>
    <w:p w14:paraId="052C4ADF">
      <w:pPr>
        <w:pStyle w:val="162"/>
      </w:pPr>
      <w:r>
        <w:rPr>
          <w:rFonts w:hint="eastAsia"/>
        </w:rPr>
        <w:t>线上信息公示应完整、真实、准确；订单、经营、配送等数据留存可追溯，保存期限应符合相关规定。</w:t>
      </w:r>
    </w:p>
    <w:bookmarkEnd w:id="53"/>
    <w:p w14:paraId="7C738EDA">
      <w:pPr>
        <w:pStyle w:val="104"/>
        <w:spacing w:before="240" w:after="240"/>
      </w:pPr>
      <w:r>
        <w:rPr>
          <w:rFonts w:hint="eastAsia"/>
        </w:rPr>
        <w:t>平台管理要求</w:t>
      </w:r>
    </w:p>
    <w:p w14:paraId="22C020C5">
      <w:pPr>
        <w:pStyle w:val="105"/>
        <w:spacing w:before="120" w:after="120"/>
      </w:pPr>
      <w:r>
        <w:rPr>
          <w:rFonts w:hint="eastAsia"/>
        </w:rPr>
        <w:t>资质审查</w:t>
      </w:r>
    </w:p>
    <w:p w14:paraId="62456E1A">
      <w:pPr>
        <w:pStyle w:val="165"/>
      </w:pPr>
      <w:r>
        <w:rPr>
          <w:rFonts w:hint="eastAsia"/>
        </w:rPr>
        <w:t>建立入网餐饮服务提供者准入审查管理制度，应对入网餐饮服务提供者建立信息档案，主要信息包括：</w:t>
      </w:r>
    </w:p>
    <w:p w14:paraId="298B79EF">
      <w:pPr>
        <w:pStyle w:val="132"/>
      </w:pPr>
      <w:r>
        <w:rPr>
          <w:rFonts w:hint="eastAsia"/>
        </w:rPr>
        <w:t>入网餐饮服务提供者的名称；</w:t>
      </w:r>
    </w:p>
    <w:p w14:paraId="096385FE">
      <w:pPr>
        <w:pStyle w:val="132"/>
      </w:pPr>
      <w:r>
        <w:rPr>
          <w:rFonts w:hint="eastAsia"/>
        </w:rPr>
        <w:t>统一社会信用代码；</w:t>
      </w:r>
    </w:p>
    <w:p w14:paraId="7391FB15">
      <w:pPr>
        <w:pStyle w:val="132"/>
      </w:pPr>
      <w:r>
        <w:rPr>
          <w:rFonts w:hint="eastAsia"/>
        </w:rPr>
        <w:t>实际经营地址；</w:t>
      </w:r>
    </w:p>
    <w:p w14:paraId="65EA2AD4">
      <w:pPr>
        <w:pStyle w:val="132"/>
      </w:pPr>
      <w:r>
        <w:rPr>
          <w:rFonts w:hint="eastAsia"/>
        </w:rPr>
        <w:t>法定代表人或者负责人，食品安全管理人员等；</w:t>
      </w:r>
    </w:p>
    <w:p w14:paraId="4D11CCD9">
      <w:pPr>
        <w:pStyle w:val="132"/>
      </w:pPr>
      <w:r>
        <w:rPr>
          <w:rFonts w:hint="eastAsia"/>
        </w:rPr>
        <w:t>联系方式；</w:t>
      </w:r>
    </w:p>
    <w:p w14:paraId="15C9690F">
      <w:pPr>
        <w:pStyle w:val="132"/>
      </w:pPr>
      <w:r>
        <w:rPr>
          <w:rFonts w:hint="eastAsia"/>
        </w:rPr>
        <w:t>经营资质。</w:t>
      </w:r>
    </w:p>
    <w:p w14:paraId="5CFD5F04">
      <w:pPr>
        <w:pStyle w:val="165"/>
      </w:pPr>
      <w:r>
        <w:rPr>
          <w:rFonts w:hint="eastAsia"/>
        </w:rPr>
        <w:t>应通过实地核查等方式，严格审核入网餐饮服务提供者的营业执照、食品经营许可证、辽宁省小餐饮经营许可证等相关资质，核查资质有效性、经营范围与实际经营项目一致性，留存资质复印件及相关证明材料。</w:t>
      </w:r>
    </w:p>
    <w:p w14:paraId="70859CA4">
      <w:pPr>
        <w:pStyle w:val="165"/>
      </w:pPr>
      <w:r>
        <w:rPr>
          <w:rFonts w:hint="eastAsia"/>
        </w:rPr>
        <w:t>与监管部门相关数据平台进行数据核验比对，对资质核验不通过、信息不一致的， 不予上线；对已上线的，立即下架并终止服务。</w:t>
      </w:r>
    </w:p>
    <w:p w14:paraId="3732E852">
      <w:pPr>
        <w:pStyle w:val="165"/>
      </w:pPr>
      <w:r>
        <w:rPr>
          <w:rFonts w:hint="eastAsia"/>
        </w:rPr>
        <w:t>建立入网餐饮服务提供者资质常态化复核机制，复核周期不超过6个月，对复核不合格的，责令限期整改，整改仍不合格的，终止服务并上报属地市场监管部门。</w:t>
      </w:r>
    </w:p>
    <w:p w14:paraId="1652124D">
      <w:pPr>
        <w:pStyle w:val="165"/>
      </w:pPr>
      <w:r>
        <w:rPr>
          <w:rFonts w:hint="eastAsia"/>
        </w:rPr>
        <w:t>督促入网餐饮服务提供者采取封签等方式对配送食品进行封口。</w:t>
      </w:r>
    </w:p>
    <w:p w14:paraId="6453B306">
      <w:pPr>
        <w:pStyle w:val="165"/>
        <w:rPr>
          <w:szCs w:val="21"/>
        </w:rPr>
      </w:pPr>
      <w:r>
        <w:rPr>
          <w:rFonts w:hint="eastAsia"/>
        </w:rPr>
        <w:t>及时制止食品安全违法行为，并向属地市场监管部门报告；对严重违法行为，应当立即停止提供网络交易平台服务。</w:t>
      </w:r>
    </w:p>
    <w:p w14:paraId="6B2836CF">
      <w:pPr>
        <w:pStyle w:val="165"/>
      </w:pPr>
      <w:r>
        <w:rPr>
          <w:rFonts w:hint="eastAsia"/>
        </w:rPr>
        <w:t>应遵循法律法规规定的其他要求。</w:t>
      </w:r>
    </w:p>
    <w:p w14:paraId="4834A6EE">
      <w:pPr>
        <w:pStyle w:val="105"/>
        <w:spacing w:before="120" w:after="120"/>
      </w:pPr>
      <w:r>
        <w:rPr>
          <w:rFonts w:hint="eastAsia"/>
        </w:rPr>
        <w:t>信息公示</w:t>
      </w:r>
    </w:p>
    <w:p w14:paraId="692D4C25">
      <w:pPr>
        <w:pStyle w:val="165"/>
      </w:pPr>
      <w:r>
        <w:rPr>
          <w:rFonts w:hint="eastAsia"/>
        </w:rPr>
        <w:t>入网餐饮服务提供者的平台店铺名称应与实体经营门面招牌名称保持一致，不应误导消费者。</w:t>
      </w:r>
    </w:p>
    <w:p w14:paraId="4E68BEDD">
      <w:pPr>
        <w:pStyle w:val="165"/>
      </w:pPr>
      <w:r>
        <w:rPr>
          <w:rFonts w:hint="eastAsia"/>
        </w:rPr>
        <w:t>入网餐饮服务提供者应将店铺的基本信息在平台首页显著位置公示。公示信息应真实有效、画面清晰、容易辨认。信息发生变更的，应重新登记审查，及时更新，并实时向消费者开放便于查看。公示信息的内容包括但不限于：</w:t>
      </w:r>
    </w:p>
    <w:p w14:paraId="5322B1AA">
      <w:pPr>
        <w:pStyle w:val="132"/>
      </w:pPr>
      <w:r>
        <w:rPr>
          <w:rFonts w:hint="eastAsia"/>
        </w:rPr>
        <w:t>主体名称；</w:t>
      </w:r>
    </w:p>
    <w:p w14:paraId="460C6154">
      <w:pPr>
        <w:pStyle w:val="132"/>
      </w:pPr>
      <w:r>
        <w:rPr>
          <w:rFonts w:hint="eastAsia"/>
        </w:rPr>
        <w:t>食品经营许可证或</w:t>
      </w:r>
      <w:r>
        <w:rPr>
          <w:rFonts w:hint="eastAsia" w:hAnsi="宋体" w:cs="宋体"/>
        </w:rPr>
        <w:t>辽宁省小餐饮经营许可证</w:t>
      </w:r>
      <w:r>
        <w:rPr>
          <w:rFonts w:hint="eastAsia"/>
        </w:rPr>
        <w:t>；</w:t>
      </w:r>
    </w:p>
    <w:p w14:paraId="4D16EA8A">
      <w:pPr>
        <w:pStyle w:val="132"/>
      </w:pPr>
      <w:r>
        <w:rPr>
          <w:rFonts w:hint="eastAsia"/>
        </w:rPr>
        <w:t>实体门店实景照片（含门头、加工场所）；</w:t>
      </w:r>
    </w:p>
    <w:p w14:paraId="7D8A1DB6">
      <w:pPr>
        <w:pStyle w:val="132"/>
      </w:pPr>
      <w:r>
        <w:rPr>
          <w:rFonts w:hint="eastAsia"/>
        </w:rPr>
        <w:t>实际经营地址；</w:t>
      </w:r>
    </w:p>
    <w:p w14:paraId="09060698">
      <w:pPr>
        <w:pStyle w:val="132"/>
      </w:pPr>
      <w:r>
        <w:t>餐食名称及主要原料；</w:t>
      </w:r>
    </w:p>
    <w:p w14:paraId="1EAD7A57">
      <w:pPr>
        <w:pStyle w:val="132"/>
      </w:pPr>
      <w:r>
        <w:rPr>
          <w:rFonts w:hint="eastAsia"/>
        </w:rPr>
        <w:t>食品安全风险等级信息；</w:t>
      </w:r>
    </w:p>
    <w:p w14:paraId="3A194572">
      <w:pPr>
        <w:pStyle w:val="132"/>
      </w:pPr>
      <w:r>
        <w:rPr>
          <w:rFonts w:hint="eastAsia"/>
        </w:rPr>
        <w:t>食品安全总监、食品安全员信息；</w:t>
      </w:r>
    </w:p>
    <w:p w14:paraId="5F55B46F">
      <w:pPr>
        <w:pStyle w:val="132"/>
      </w:pPr>
      <w:r>
        <w:rPr>
          <w:rFonts w:hint="eastAsia"/>
        </w:rPr>
        <w:t xml:space="preserve"> “</w:t>
      </w:r>
      <w:r>
        <w:t>明厨亮灶</w:t>
      </w:r>
      <w:r>
        <w:rPr>
          <w:rFonts w:hint="eastAsia"/>
        </w:rPr>
        <w:t>”</w:t>
      </w:r>
      <w:r>
        <w:t>标识</w:t>
      </w:r>
      <w:r>
        <w:rPr>
          <w:rFonts w:hint="eastAsia"/>
        </w:rPr>
        <w:t>。</w:t>
      </w:r>
    </w:p>
    <w:p w14:paraId="13ABEF33">
      <w:pPr>
        <w:pStyle w:val="165"/>
      </w:pPr>
      <w:r>
        <w:rPr>
          <w:rFonts w:hint="eastAsia"/>
        </w:rPr>
        <w:t>对无堂食专做外卖的入网餐饮服务提供者，平台应在其主页面显著位置设置“无堂食</w:t>
      </w:r>
      <w:bookmarkStart w:id="55" w:name="OLE_LINK1"/>
      <w:bookmarkStart w:id="56" w:name="OLE_LINK2"/>
      <w:r>
        <w:rPr>
          <w:rFonts w:hint="eastAsia"/>
        </w:rPr>
        <w:t>”</w:t>
      </w:r>
      <w:bookmarkEnd w:id="55"/>
      <w:bookmarkEnd w:id="56"/>
      <w:r>
        <w:rPr>
          <w:rFonts w:hint="eastAsia"/>
        </w:rPr>
        <w:t>标识，并将上述标识信息同步展示在入网餐饮服务提供者列表页面，标识清晰、醒目，便于消费者识别。</w:t>
      </w:r>
    </w:p>
    <w:p w14:paraId="4506653E">
      <w:pPr>
        <w:pStyle w:val="165"/>
      </w:pPr>
      <w:r>
        <w:rPr>
          <w:rFonts w:hint="eastAsia"/>
        </w:rPr>
        <w:t>入网餐饮服务提供者</w:t>
      </w:r>
      <w:r>
        <w:t>应按GB/T 40041的规定在平台公示外卖餐食信息</w:t>
      </w:r>
      <w:r>
        <w:rPr>
          <w:rFonts w:hint="eastAsia"/>
        </w:rPr>
        <w:t>。</w:t>
      </w:r>
    </w:p>
    <w:p w14:paraId="2283F684">
      <w:pPr>
        <w:pStyle w:val="165"/>
        <w:rPr>
          <w:szCs w:val="21"/>
        </w:rPr>
      </w:pPr>
      <w:r>
        <w:rPr>
          <w:rFonts w:hint="eastAsia"/>
        </w:rPr>
        <w:t>平台应向入网餐饮服务提供者提供“互联网+明厨亮灶”的技术支持，并要求入网餐饮服务提供者实施“互联网+明厨亮灶”，相关视频信息应至少保存14日。</w:t>
      </w:r>
    </w:p>
    <w:p w14:paraId="66F0853F">
      <w:pPr>
        <w:pStyle w:val="105"/>
        <w:spacing w:before="120" w:after="120"/>
      </w:pPr>
      <w:r>
        <w:rPr>
          <w:rFonts w:hint="eastAsia"/>
        </w:rPr>
        <w:t>经营管控</w:t>
      </w:r>
    </w:p>
    <w:p w14:paraId="21660093">
      <w:pPr>
        <w:pStyle w:val="165"/>
      </w:pPr>
      <w:r>
        <w:rPr>
          <w:rFonts w:hint="eastAsia"/>
        </w:rPr>
        <w:t>建立审查入网、巡查、抽检、整改、清退全链条管理体系，定期对入网餐饮服务提供者的经营行为、食品安全状况进行巡查，对</w:t>
      </w:r>
      <w:r>
        <w:rPr>
          <w:rFonts w:hint="eastAsia" w:hAnsi="宋体" w:cs="宋体"/>
        </w:rPr>
        <w:t>网红餐饮、无堂食外卖和点餐量高的餐饮等</w:t>
      </w:r>
      <w:r>
        <w:rPr>
          <w:rFonts w:hint="eastAsia"/>
        </w:rPr>
        <w:t>高风险品类开展专项抽检。</w:t>
      </w:r>
    </w:p>
    <w:p w14:paraId="584207E4">
      <w:pPr>
        <w:pStyle w:val="165"/>
      </w:pPr>
      <w:r>
        <w:t>平台应分别于每年一月和七月向市、区两级市场监督管理部门报送</w:t>
      </w:r>
      <w:r>
        <w:rPr>
          <w:rFonts w:hint="eastAsia"/>
        </w:rPr>
        <w:t>入网餐饮服务提供者的经营资质等身份信息。</w:t>
      </w:r>
    </w:p>
    <w:p w14:paraId="403D568A">
      <w:pPr>
        <w:pStyle w:val="165"/>
      </w:pPr>
      <w:r>
        <w:rPr>
          <w:rFonts w:hint="eastAsia"/>
        </w:rPr>
        <w:t>对生食类、冷食类、裱花蛋糕、预包装食品加热等高危风险餐饮品种，实施重点管控，</w:t>
      </w:r>
      <w:r>
        <w:rPr>
          <w:rFonts w:hint="eastAsia" w:hAnsi="宋体" w:cs="宋体"/>
        </w:rPr>
        <w:t>制定《食品安全风险管控清单》，</w:t>
      </w:r>
      <w:r>
        <w:rPr>
          <w:rFonts w:hint="eastAsia"/>
        </w:rPr>
        <w:t>督促入网餐饮经营者落实专项防控措施，留存管控记录。</w:t>
      </w:r>
    </w:p>
    <w:p w14:paraId="4B0B32A6">
      <w:pPr>
        <w:pStyle w:val="165"/>
      </w:pPr>
      <w:r>
        <w:rPr>
          <w:rFonts w:hint="eastAsia"/>
        </w:rPr>
        <w:t>明确要求并督促入网餐饮经营者规范使用食安封签，对未按要求使用、封签不规范的，采取限制店铺曝光、暂停接单、限期整改等措施；拒不整改的，下架相关店铺并公示。</w:t>
      </w:r>
    </w:p>
    <w:p w14:paraId="7AFB4D46">
      <w:pPr>
        <w:pStyle w:val="165"/>
      </w:pPr>
      <w:r>
        <w:rPr>
          <w:rFonts w:hint="eastAsia"/>
        </w:rPr>
        <w:t>保障订单信息完整可追溯，订单信息应包含店铺名称、食品名称、下单时间、配送人员、送达时间、收货地址等，保存时间自交易完成之日起不少于三年。</w:t>
      </w:r>
    </w:p>
    <w:p w14:paraId="3DFAE280">
      <w:pPr>
        <w:pStyle w:val="105"/>
        <w:spacing w:before="120" w:after="120"/>
      </w:pPr>
      <w:r>
        <w:rPr>
          <w:rFonts w:hint="eastAsia"/>
        </w:rPr>
        <w:t>处置与报告</w:t>
      </w:r>
    </w:p>
    <w:p w14:paraId="13BBE5BB">
      <w:pPr>
        <w:pStyle w:val="165"/>
      </w:pPr>
      <w:r>
        <w:rPr>
          <w:rFonts w:hint="eastAsia"/>
        </w:rPr>
        <w:t>建立违法违规行为处置机制，发现入网餐饮服务提供者存在无证、假证、超范围经营、卫生不达标、使用过期食材</w:t>
      </w:r>
      <w:r>
        <w:rPr>
          <w:rFonts w:hint="eastAsia" w:hAnsi="宋体" w:cs="宋体"/>
        </w:rPr>
        <w:t>、未设置“无堂食”标识、未使用食安封签、未在平台实时公开食品加工制作过程</w:t>
      </w:r>
      <w:r>
        <w:rPr>
          <w:rFonts w:hint="eastAsia"/>
        </w:rPr>
        <w:t>等问题的，立即下架相关店铺、暂停服务，督促经营者整改，并在24h内上报属地市场监督管理部门。</w:t>
      </w:r>
    </w:p>
    <w:p w14:paraId="0535ED81">
      <w:pPr>
        <w:pStyle w:val="165"/>
      </w:pPr>
      <w:r>
        <w:rPr>
          <w:rFonts w:hint="eastAsia" w:hAnsi="宋体" w:cs="宋体"/>
        </w:rPr>
        <w:t>发现入网餐饮服务提供者的经营资质被撤销、注销、吊销或有效期满的，应当立即停止提供网络交易平台服务。</w:t>
      </w:r>
    </w:p>
    <w:p w14:paraId="7038D099">
      <w:pPr>
        <w:pStyle w:val="165"/>
      </w:pPr>
      <w:r>
        <w:rPr>
          <w:rFonts w:hint="eastAsia"/>
        </w:rPr>
        <w:t>建立便捷高效的投诉举报渠道，在平台显著位置公示投诉举报方式，对消费者反映的食品安全相关投诉，在12h内响应，24h内处置完毕，留存投诉处置记录。</w:t>
      </w:r>
    </w:p>
    <w:p w14:paraId="5054CC2C">
      <w:pPr>
        <w:pStyle w:val="165"/>
      </w:pPr>
      <w:r>
        <w:rPr>
          <w:rFonts w:hint="eastAsia"/>
        </w:rPr>
        <w:t xml:space="preserve">积极配合市场监督管理部门开展监督检查、抽样检验、调查取证等工作，如实提供相关数据、资料，不应隐瞒、拒绝。 </w:t>
      </w:r>
      <w:r>
        <w:t xml:space="preserve"> </w:t>
      </w:r>
    </w:p>
    <w:p w14:paraId="7CCBA50F">
      <w:pPr>
        <w:pStyle w:val="104"/>
        <w:spacing w:before="240" w:after="240"/>
      </w:pPr>
      <w:r>
        <w:rPr>
          <w:rFonts w:hint="eastAsia"/>
        </w:rPr>
        <w:t>入网餐饮服务提供者要求</w:t>
      </w:r>
    </w:p>
    <w:p w14:paraId="59E0D64E">
      <w:pPr>
        <w:pStyle w:val="105"/>
        <w:spacing w:before="120" w:after="120"/>
      </w:pPr>
      <w:r>
        <w:rPr>
          <w:rFonts w:hint="eastAsia"/>
        </w:rPr>
        <w:t>资质与场所</w:t>
      </w:r>
    </w:p>
    <w:p w14:paraId="2458AE12">
      <w:pPr>
        <w:pStyle w:val="165"/>
      </w:pPr>
      <w:r>
        <w:rPr>
          <w:rFonts w:hint="eastAsia"/>
        </w:rPr>
        <w:t>具备真实、固定、合法的经营场所，不应擅自变更经营场所或增设加工点。</w:t>
      </w:r>
    </w:p>
    <w:p w14:paraId="38F69DFE">
      <w:pPr>
        <w:pStyle w:val="165"/>
      </w:pPr>
      <w:r>
        <w:rPr>
          <w:rFonts w:hint="eastAsia"/>
        </w:rPr>
        <w:t>加工场所布局、流程、设施设备符合GB 31654的要求，设置专用加工区域，配备必要的冷藏、冷冻、消毒、保洁等设施设备，定期维护、校验，留存维护记录。</w:t>
      </w:r>
    </w:p>
    <w:p w14:paraId="7A543B5D">
      <w:pPr>
        <w:pStyle w:val="165"/>
      </w:pPr>
      <w:r>
        <w:rPr>
          <w:rFonts w:hint="eastAsia"/>
        </w:rPr>
        <w:t>严格按照食品经营许可证</w:t>
      </w:r>
      <w:r>
        <w:rPr>
          <w:rFonts w:hint="eastAsia" w:hAnsi="宋体" w:cs="宋体"/>
        </w:rPr>
        <w:t>、辽宁省小餐饮经营许可证</w:t>
      </w:r>
      <w:r>
        <w:rPr>
          <w:rFonts w:hint="eastAsia"/>
        </w:rPr>
        <w:t>核准的范围经营，不应超范围经营；不应将订单委托其他食品经营者加工制作。</w:t>
      </w:r>
    </w:p>
    <w:p w14:paraId="5BD8F771">
      <w:pPr>
        <w:pStyle w:val="165"/>
      </w:pPr>
      <w:r>
        <w:rPr>
          <w:rFonts w:hint="eastAsia"/>
        </w:rPr>
        <w:t>对于仅提供外卖服务的“无堂食”外卖店，应满足以下要求：</w:t>
      </w:r>
    </w:p>
    <w:p w14:paraId="64FFEF7B">
      <w:pPr>
        <w:pStyle w:val="132"/>
      </w:pPr>
      <w:r>
        <w:rPr>
          <w:rFonts w:hint="eastAsia"/>
        </w:rPr>
        <w:t xml:space="preserve">经营场所面积应与其加工经营规模相适应，严禁在居民住宅楼内设置产生油烟、异味、废气的加工点； </w:t>
      </w:r>
      <w:r>
        <w:t xml:space="preserve">  </w:t>
      </w:r>
    </w:p>
    <w:p w14:paraId="3907EDA3">
      <w:pPr>
        <w:pStyle w:val="132"/>
      </w:pPr>
      <w:r>
        <w:rPr>
          <w:rFonts w:hint="eastAsia"/>
        </w:rPr>
        <w:t>应</w:t>
      </w:r>
      <w:r>
        <w:rPr>
          <w:rFonts w:hint="eastAsia" w:hAnsi="宋体" w:cs="宋体"/>
        </w:rPr>
        <w:t>在入网平台实时公开加工制作过程，</w:t>
      </w:r>
      <w:r>
        <w:rPr>
          <w:rFonts w:hint="eastAsia"/>
        </w:rPr>
        <w:t>展示给平台审核人员或监管人员，实施“互联网+明厨亮灶”。</w:t>
      </w:r>
    </w:p>
    <w:p w14:paraId="286F3BA7">
      <w:pPr>
        <w:pStyle w:val="105"/>
        <w:spacing w:before="120" w:after="120"/>
      </w:pPr>
      <w:r>
        <w:t>人员管理</w:t>
      </w:r>
    </w:p>
    <w:p w14:paraId="5E2A94BA">
      <w:pPr>
        <w:pStyle w:val="165"/>
      </w:pPr>
      <w:r>
        <w:rPr>
          <w:rFonts w:hint="eastAsia"/>
        </w:rPr>
        <w:t>从业人员应持有效健康证明上岗，每年进行一次健康检查，健康证明过期或失效的，立即停止上岗；新入职从业人员应取得健康证明后方可上岗。</w:t>
      </w:r>
    </w:p>
    <w:p w14:paraId="2BBF50DE">
      <w:pPr>
        <w:pStyle w:val="165"/>
      </w:pPr>
      <w:r>
        <w:rPr>
          <w:rFonts w:hint="eastAsia"/>
        </w:rPr>
        <w:t>落实从业人员晨检制度，每日上岗前核查从业人员健康状况，对患有发热、腹泻、呕吐、咳嗽、皮肤伤口或感染等有碍食品安全病症的，立即安排离岗，待治愈并取得相关证明后，方可重新上岗，留存晨检记录。</w:t>
      </w:r>
    </w:p>
    <w:p w14:paraId="37BD42BD">
      <w:pPr>
        <w:pStyle w:val="165"/>
      </w:pPr>
      <w:r>
        <w:rPr>
          <w:rFonts w:hint="eastAsia"/>
        </w:rPr>
        <w:t>配备专人负责食品安全管理工作，</w:t>
      </w:r>
      <w:r>
        <w:rPr>
          <w:rFonts w:hint="eastAsia" w:hAnsi="宋体" w:cs="宋体"/>
        </w:rPr>
        <w:t>每年接受食品安全知识培训不少于</w:t>
      </w:r>
      <w:r>
        <w:rPr>
          <w:rFonts w:hint="eastAsia" w:ascii="Calibri" w:hAnsi="Calibri" w:cs="Calibri"/>
        </w:rPr>
        <w:t>40</w:t>
      </w:r>
      <w:r>
        <w:rPr>
          <w:rFonts w:hint="eastAsia" w:hAnsi="宋体" w:cs="宋体"/>
        </w:rPr>
        <w:t>学时，</w:t>
      </w:r>
      <w:r>
        <w:rPr>
          <w:rFonts w:hint="eastAsia"/>
        </w:rPr>
        <w:t>定期组织从业人员开展食品安全知识、操作规范培训，培训内容涵盖食品安全法律法规、加工制作规范、卫生防护要求等，留存培训记录。</w:t>
      </w:r>
    </w:p>
    <w:p w14:paraId="4A33AF37">
      <w:pPr>
        <w:pStyle w:val="105"/>
        <w:spacing w:before="120" w:after="120"/>
      </w:pPr>
      <w:r>
        <w:rPr>
          <w:rFonts w:hint="eastAsia"/>
        </w:rPr>
        <w:t>加工制作</w:t>
      </w:r>
    </w:p>
    <w:p w14:paraId="52085E60">
      <w:pPr>
        <w:pStyle w:val="165"/>
      </w:pPr>
      <w:r>
        <w:rPr>
          <w:rFonts w:hint="eastAsia"/>
        </w:rPr>
        <w:t>加工制作应符合GB 31654的要求</w:t>
      </w:r>
      <w:r>
        <w:rPr>
          <w:rFonts w:hint="eastAsia" w:hAnsi="宋体" w:cs="宋体"/>
        </w:rPr>
        <w:t>和餐饮服务食品安全操作规范的要求</w:t>
      </w:r>
      <w:r>
        <w:rPr>
          <w:rFonts w:hint="eastAsia"/>
        </w:rPr>
        <w:t>。</w:t>
      </w:r>
    </w:p>
    <w:p w14:paraId="34563387">
      <w:pPr>
        <w:pStyle w:val="165"/>
      </w:pPr>
      <w:r>
        <w:rPr>
          <w:rFonts w:hint="eastAsia"/>
        </w:rPr>
        <w:t>严格执行原料进货查验和索证索票制度，建立进货台账，如实记录原料名称、规格、数量、生产日期/批号、供应商名称及联系方式、采购日期等信息，</w:t>
      </w:r>
      <w:r>
        <w:rPr>
          <w:rFonts w:hint="eastAsia" w:hAnsi="宋体" w:cs="宋体"/>
        </w:rPr>
        <w:t>记录和凭证保存期限不应少于产品保质期满后六个月；没有明确保质期的，保存期限不应少于二年</w:t>
      </w:r>
      <w:r>
        <w:rPr>
          <w:rFonts w:hint="eastAsia"/>
        </w:rPr>
        <w:t>；不应采购无资质、过期、变质、假冒伪劣的原料及食品添加剂。</w:t>
      </w:r>
    </w:p>
    <w:p w14:paraId="610052E7">
      <w:pPr>
        <w:pStyle w:val="165"/>
      </w:pPr>
      <w:r>
        <w:rPr>
          <w:rFonts w:hint="eastAsia"/>
        </w:rPr>
        <w:t>加工制作过程中应做到生熟分开、成品与半成品分开，使用专用加工工具、容器，做好明显标识，防止交叉污染。</w:t>
      </w:r>
    </w:p>
    <w:p w14:paraId="6C7ABFD2">
      <w:pPr>
        <w:pStyle w:val="165"/>
      </w:pPr>
      <w:r>
        <w:rPr>
          <w:rFonts w:hint="eastAsia"/>
        </w:rPr>
        <w:t>食品加工制作应烧熟煮透，中心温度应达到70℃以上；冷藏、冷冻食品严格控制储存温度，冷藏温度应在0℃</w:t>
      </w:r>
      <w:r>
        <w:rPr>
          <w:rFonts w:hint="eastAsia" w:hAnsi="宋体" w:cs="宋体"/>
        </w:rPr>
        <w:t>～</w:t>
      </w:r>
      <w:r>
        <w:rPr>
          <w:rFonts w:hint="eastAsia"/>
        </w:rPr>
        <w:t>8℃，冷冻温度≤-1</w:t>
      </w:r>
      <w:r>
        <w:t>2</w:t>
      </w:r>
      <w:r>
        <w:rPr>
          <w:rFonts w:hint="eastAsia"/>
        </w:rPr>
        <w:t>℃，留存温度监测记录。</w:t>
      </w:r>
    </w:p>
    <w:p w14:paraId="3917FBA4">
      <w:pPr>
        <w:pStyle w:val="165"/>
      </w:pPr>
      <w:r>
        <w:rPr>
          <w:rFonts w:hint="eastAsia"/>
        </w:rPr>
        <w:t>严格控制食品添加剂使用，按规定使用范围和剂量添加，专人管理、专柜存放、专人登记，留存使用记录，不应使用非食用物质加工食品。</w:t>
      </w:r>
    </w:p>
    <w:p w14:paraId="66BC898B">
      <w:pPr>
        <w:pStyle w:val="165"/>
      </w:pPr>
      <w:r>
        <w:rPr>
          <w:rFonts w:hint="eastAsia"/>
        </w:rPr>
        <w:t>餐用具使用前应清洗、消毒、保洁，消毒方式应符合规范要求，消毒后的餐用具存放于专用保洁设施内，定期开展餐用具消毒效果检测，留存检测记录。</w:t>
      </w:r>
    </w:p>
    <w:p w14:paraId="0C16E8AF">
      <w:pPr>
        <w:pStyle w:val="165"/>
      </w:pPr>
      <w:r>
        <w:rPr>
          <w:rFonts w:hint="eastAsia"/>
        </w:rPr>
        <w:t>应定期维护食品贮存、加工、清洗消毒等设施设备，确保正常运转和使用。</w:t>
      </w:r>
    </w:p>
    <w:p w14:paraId="1D7E9303">
      <w:pPr>
        <w:pStyle w:val="165"/>
      </w:pPr>
      <w:r>
        <w:rPr>
          <w:rFonts w:hint="eastAsia"/>
        </w:rPr>
        <w:t>应实施“互联网+明厨亮灶”，应在加工场所关键位置（如切配区、烹饪区、凉菜制作区、备餐区等）安装摄像头，</w:t>
      </w:r>
      <w:r>
        <w:rPr>
          <w:rFonts w:hint="eastAsia" w:hAnsi="宋体" w:cs="宋体"/>
        </w:rPr>
        <w:t>实现加工、备餐过程实时公示，接受消费者监督</w:t>
      </w:r>
      <w:r>
        <w:rPr>
          <w:rFonts w:hint="eastAsia"/>
        </w:rPr>
        <w:t>。</w:t>
      </w:r>
    </w:p>
    <w:p w14:paraId="0FEDB429">
      <w:pPr>
        <w:pStyle w:val="105"/>
        <w:spacing w:before="120" w:after="120"/>
      </w:pPr>
      <w:r>
        <w:t>出餐与包装</w:t>
      </w:r>
    </w:p>
    <w:p w14:paraId="057A0817">
      <w:pPr>
        <w:pStyle w:val="165"/>
      </w:pPr>
      <w:r>
        <w:rPr>
          <w:rFonts w:hint="eastAsia"/>
        </w:rPr>
        <w:t>应使用符合国家食品安全标准的食品接触材料及包装容器，包装容器应清洁、卫生、密闭，防止餐饮品洒漏、污染；不应使用回收、废弃的食品接触材料制作包装。</w:t>
      </w:r>
    </w:p>
    <w:p w14:paraId="6733659D">
      <w:pPr>
        <w:pStyle w:val="165"/>
      </w:pPr>
      <w:r>
        <w:rPr>
          <w:rFonts w:hint="eastAsia" w:hAnsi="宋体" w:cs="宋体"/>
        </w:rPr>
        <w:t>应在食品容器或包装显著位置标注商家名称、加工时间、保质期、食用提示等信息。</w:t>
      </w:r>
    </w:p>
    <w:p w14:paraId="099CDE2E">
      <w:pPr>
        <w:pStyle w:val="165"/>
      </w:pPr>
      <w:r>
        <w:rPr>
          <w:rFonts w:hint="eastAsia"/>
        </w:rPr>
        <w:t>餐饮品配送前应使用食安封签进行封装，封签粘贴牢固、完整，标识清晰；未使用食安封签的餐饮品，不应交付配送。</w:t>
      </w:r>
    </w:p>
    <w:p w14:paraId="6C16DC2F">
      <w:pPr>
        <w:pStyle w:val="165"/>
      </w:pPr>
      <w:r>
        <w:rPr>
          <w:rFonts w:hint="eastAsia"/>
        </w:rPr>
        <w:t>备餐时严格核对订单信息，确保餐饮品名称、数量与订单一致，防止错拿、漏装；备餐过程中做好卫生防护，避免人为污染餐饮品。</w:t>
      </w:r>
    </w:p>
    <w:p w14:paraId="2EBC0B3E">
      <w:pPr>
        <w:pStyle w:val="165"/>
      </w:pPr>
      <w:r>
        <w:t>入网餐饮服务提供者应设置临时或固定的网络餐饮服务取餐区或无接触取餐区，取餐区应与加工制作区分离，并有明显标识。</w:t>
      </w:r>
    </w:p>
    <w:p w14:paraId="6F9D4F7C">
      <w:pPr>
        <w:pStyle w:val="104"/>
        <w:spacing w:before="240" w:after="240"/>
      </w:pPr>
      <w:r>
        <w:rPr>
          <w:rFonts w:hint="eastAsia"/>
        </w:rPr>
        <w:t>配送服务提供者要求</w:t>
      </w:r>
    </w:p>
    <w:p w14:paraId="5863717E">
      <w:pPr>
        <w:pStyle w:val="105"/>
        <w:spacing w:before="120" w:after="120"/>
      </w:pPr>
      <w:r>
        <w:rPr>
          <w:rFonts w:hint="eastAsia"/>
        </w:rPr>
        <w:t>人员要求</w:t>
      </w:r>
    </w:p>
    <w:p w14:paraId="58097B60">
      <w:pPr>
        <w:pStyle w:val="165"/>
      </w:pPr>
      <w:r>
        <w:rPr>
          <w:rFonts w:hint="eastAsia"/>
        </w:rPr>
        <w:t>配送人员应持有有效健康证明上岗，上岗时按要求佩戴口罩、工作帽，保持个人卫生，保持手部清洁，不应留长指甲、涂指甲油；配送过程中不应擅自摘下口罩。</w:t>
      </w:r>
    </w:p>
    <w:p w14:paraId="2DE7078E">
      <w:pPr>
        <w:pStyle w:val="165"/>
      </w:pPr>
      <w:r>
        <w:rPr>
          <w:rFonts w:hint="eastAsia"/>
        </w:rPr>
        <w:t>配送人员不应在配送过程中接触、品尝、调换、损毁餐饮品，不应擅自拆封食安封签；发现餐饮品封签破损、餐饮品洒漏等情况，及时反馈商家及平台，</w:t>
      </w:r>
      <w:r>
        <w:rPr>
          <w:rFonts w:hint="eastAsia" w:hAnsi="宋体" w:cs="宋体"/>
        </w:rPr>
        <w:t>并由其进行处置，不得擅自主张并配送</w:t>
      </w:r>
      <w:r>
        <w:rPr>
          <w:rFonts w:hint="eastAsia"/>
        </w:rPr>
        <w:t>。</w:t>
      </w:r>
    </w:p>
    <w:p w14:paraId="07B894DC">
      <w:pPr>
        <w:pStyle w:val="165"/>
      </w:pPr>
      <w:r>
        <w:rPr>
          <w:rFonts w:hint="eastAsia"/>
        </w:rPr>
        <w:t>配送单位应定期组织配送人员开展食品安全知识、配送规范培训，培训内容宜涵盖食安封签查验、餐饮品防护、个人卫生等，培训记录保存期限不应少于两年。</w:t>
      </w:r>
    </w:p>
    <w:p w14:paraId="25F6C251">
      <w:pPr>
        <w:pStyle w:val="105"/>
        <w:spacing w:before="120" w:after="120"/>
      </w:pPr>
      <w:r>
        <w:rPr>
          <w:rFonts w:hint="eastAsia"/>
        </w:rPr>
        <w:t>配送容器与装备</w:t>
      </w:r>
    </w:p>
    <w:p w14:paraId="2FD9C157">
      <w:pPr>
        <w:pStyle w:val="165"/>
      </w:pPr>
      <w:r>
        <w:rPr>
          <w:rFonts w:hint="eastAsia"/>
        </w:rPr>
        <w:t>配送箱（袋）应专用、密闭、保温、清洁、无异味，宜配备安全锁，不应存放与配送无关的物品；配送箱（袋）材质应符合食品接触安全要求，定期检查、更换，发现破损、污染</w:t>
      </w:r>
      <w:r>
        <w:rPr>
          <w:rFonts w:hint="eastAsia" w:hAnsi="宋体" w:cs="宋体"/>
        </w:rPr>
        <w:t>应及时更换，保证配送过程食品不受污染</w:t>
      </w:r>
      <w:r>
        <w:rPr>
          <w:rFonts w:hint="eastAsia"/>
        </w:rPr>
        <w:t>。</w:t>
      </w:r>
    </w:p>
    <w:p w14:paraId="68F65844">
      <w:pPr>
        <w:pStyle w:val="165"/>
      </w:pPr>
      <w:r>
        <w:rPr>
          <w:rFonts w:hint="eastAsia"/>
        </w:rPr>
        <w:t>建立配送箱（袋）清洗消毒制度，每日配送前或配送结束后应对配送箱（袋）进行彻底清洗、消毒，晾干后存放于清洁干燥的专用区域；清洗消毒过程做好记录，留存记录不少于6个月。</w:t>
      </w:r>
    </w:p>
    <w:p w14:paraId="61774195">
      <w:pPr>
        <w:pStyle w:val="165"/>
      </w:pPr>
      <w:r>
        <w:rPr>
          <w:rFonts w:hint="eastAsia"/>
        </w:rPr>
        <w:t>配送过程中，</w:t>
      </w:r>
      <w:r>
        <w:rPr>
          <w:rFonts w:hint="eastAsia" w:hAnsi="宋体"/>
        </w:rPr>
        <w:t>冷（生）食与热食应分区存放，使用专用分隔装置，防止交叉污染；鼓励使用可降解、环保的分隔材料</w:t>
      </w:r>
      <w:r>
        <w:rPr>
          <w:rFonts w:hint="eastAsia"/>
        </w:rPr>
        <w:t>。</w:t>
      </w:r>
    </w:p>
    <w:p w14:paraId="54CFF02E">
      <w:pPr>
        <w:pStyle w:val="165"/>
      </w:pPr>
      <w:r>
        <w:rPr>
          <w:rFonts w:hint="eastAsia"/>
        </w:rPr>
        <w:t>冬季配送应使用具备保温功能的配送箱，确保热食中心温度不低于60℃。</w:t>
      </w:r>
      <w:r>
        <w:rPr>
          <w:rFonts w:hint="eastAsia" w:hAnsi="宋体" w:cs="宋体"/>
        </w:rPr>
        <w:t>夏季酷暑天气配送冷（生）食应使用具备冷藏隔热功能的配送箱。</w:t>
      </w:r>
    </w:p>
    <w:p w14:paraId="5A1A400D">
      <w:pPr>
        <w:pStyle w:val="105"/>
        <w:spacing w:before="120" w:after="120"/>
      </w:pPr>
      <w:r>
        <w:rPr>
          <w:rFonts w:hint="eastAsia"/>
        </w:rPr>
        <w:t>取餐、交接过程</w:t>
      </w:r>
    </w:p>
    <w:p w14:paraId="7B2AE8A0">
      <w:pPr>
        <w:pStyle w:val="165"/>
      </w:pPr>
      <w:r>
        <w:rPr>
          <w:rFonts w:hint="eastAsia"/>
        </w:rPr>
        <w:t>取餐时，配送人员应仔细检查餐饮品食安封签完整性，若封签破损、脱落、篡改的，</w:t>
      </w:r>
      <w:r>
        <w:rPr>
          <w:rFonts w:hint="eastAsia" w:hAnsi="宋体" w:cs="宋体"/>
        </w:rPr>
        <w:t>消费者有权拒收，配送人员应及时上报商家及平台，留存相关记录</w:t>
      </w:r>
      <w:r>
        <w:rPr>
          <w:rFonts w:hint="eastAsia"/>
        </w:rPr>
        <w:t>。</w:t>
      </w:r>
    </w:p>
    <w:p w14:paraId="126BFFF1">
      <w:pPr>
        <w:pStyle w:val="165"/>
      </w:pPr>
      <w:r>
        <w:rPr>
          <w:rFonts w:hint="eastAsia"/>
        </w:rPr>
        <w:t>合理规划配送路线，按时规范配送，缩短餐饮品配送时间，热食从烧熟至食用的间隔时间（食用时限）不应超过烧熟后4h；高危易腐食品应冷藏配送，冷藏贮存温度应为-8℃～0℃；冷冻贮存温度应为-12℃以下</w:t>
      </w:r>
      <w:r>
        <w:rPr>
          <w:rFonts w:hint="eastAsia" w:hAnsi="宋体"/>
        </w:rPr>
        <w:t>，避免长时间存放导致食品变质</w:t>
      </w:r>
      <w:r>
        <w:rPr>
          <w:rFonts w:hint="eastAsia"/>
        </w:rPr>
        <w:t>。</w:t>
      </w:r>
    </w:p>
    <w:p w14:paraId="480E42A4">
      <w:pPr>
        <w:pStyle w:val="165"/>
      </w:pPr>
      <w:r>
        <w:rPr>
          <w:rFonts w:hint="eastAsia"/>
        </w:rPr>
        <w:t>配送过程中妥善保管餐饮品，防止餐饮品洒漏、挤压、污染，确保餐饮品送达时完好、卫生。</w:t>
      </w:r>
    </w:p>
    <w:p w14:paraId="5CDCDC9B">
      <w:pPr>
        <w:pStyle w:val="165"/>
      </w:pPr>
      <w:r>
        <w:rPr>
          <w:rFonts w:hint="eastAsia"/>
        </w:rPr>
        <w:t>在遇到公共卫生事件或其他情况下，配送人员宜与消费者沟通采用无接触配送方式，将外送餐饮品放置在取餐柜或其他指定位置。</w:t>
      </w:r>
    </w:p>
    <w:p w14:paraId="29B580D8">
      <w:pPr>
        <w:pStyle w:val="104"/>
        <w:spacing w:before="240" w:after="240"/>
      </w:pPr>
      <w:r>
        <w:rPr>
          <w:rFonts w:hint="eastAsia"/>
        </w:rPr>
        <w:t>应急与投诉处理</w:t>
      </w:r>
    </w:p>
    <w:p w14:paraId="4DC4DF4D">
      <w:pPr>
        <w:pStyle w:val="162"/>
      </w:pPr>
      <w:r>
        <w:rPr>
          <w:rFonts w:hint="eastAsia"/>
        </w:rPr>
        <w:t>第三方平台、入网餐饮服务提供者、配送服务提供者应建立食品安全应急处置预案，明确应急组织机构、应急响应流程、处置措施等，定期开展应急演练，留存演练记录。</w:t>
      </w:r>
    </w:p>
    <w:p w14:paraId="21C1BF86">
      <w:pPr>
        <w:pStyle w:val="162"/>
      </w:pPr>
      <w:r>
        <w:rPr>
          <w:rFonts w:hint="eastAsia"/>
        </w:rPr>
        <w:t>发生疑似食源性疾病、集中投诉、食品污染等食品安全突发事件时，立即停止相关经营活动，封存问题食品及相关原料、工具、设备，排查问题原因，及时通知消费者，同时上报属地市场监管部门，配合调查处理。</w:t>
      </w:r>
    </w:p>
    <w:p w14:paraId="3DFB9A01">
      <w:pPr>
        <w:pStyle w:val="162"/>
      </w:pPr>
      <w:r>
        <w:rPr>
          <w:rFonts w:hint="eastAsia"/>
        </w:rPr>
        <w:t>建立消费者投诉处理机制，明确投诉处理流程和时限，对消费者反映的食品安全相关投诉，及时响应、妥善处置，如实记录投诉内容、处理过程及结果，留存投诉处理记录不少于6个月；对投诉集中的问题，及时开展自查整改。</w:t>
      </w:r>
    </w:p>
    <w:p w14:paraId="4289BB1A">
      <w:pPr>
        <w:pStyle w:val="162"/>
      </w:pPr>
      <w:r>
        <w:rPr>
          <w:rFonts w:hint="eastAsia" w:hAnsi="宋体" w:cs="宋体"/>
        </w:rPr>
        <w:t>第三方平台提供者与入网餐饮服务提供者应建立舆情监测、报告、处置及反馈机制。发生食品安全舆情后，第三方平台应迅速下架问题食品，配合调查。入网餐饮服务提供者须立即停止经营、召回问题产品，主动报告并整改。双方需及时回应公众关切，消除食品安全隐患。</w:t>
      </w:r>
    </w:p>
    <w:p w14:paraId="3EACF568">
      <w:pPr>
        <w:pStyle w:val="162"/>
      </w:pPr>
      <w:r>
        <w:rPr>
          <w:rFonts w:hint="eastAsia"/>
        </w:rPr>
        <w:t>发生重大食品安全事件时，应当在</w:t>
      </w:r>
      <w:r>
        <w:t>0.5</w:t>
      </w:r>
      <w:r>
        <w:rPr>
          <w:rFonts w:hint="eastAsia"/>
        </w:rPr>
        <w:t>h内上报属地市场监管部门，不应迟报、漏报、瞒报。</w:t>
      </w:r>
    </w:p>
    <w:p w14:paraId="56733FA1">
      <w:pPr>
        <w:pStyle w:val="104"/>
        <w:spacing w:before="240" w:after="240"/>
      </w:pPr>
      <w:r>
        <w:t>评价与改进</w:t>
      </w:r>
    </w:p>
    <w:p w14:paraId="36A345BF">
      <w:pPr>
        <w:pStyle w:val="162"/>
      </w:pPr>
      <w:r>
        <w:t>配送完成后，配送服务提供者应提醒消费者使用客户端应用程序，通过打分和意见反馈等方式对本次配送服务进行评价。</w:t>
      </w:r>
    </w:p>
    <w:p w14:paraId="5769FB55">
      <w:pPr>
        <w:pStyle w:val="162"/>
      </w:pPr>
      <w:r>
        <w:t>应对平台运营数据、消费者反馈、食品安全投诉和处理情况等数据进行分析。应使用数据化手段分析入网餐饮服务提供者的食品质量和配送服务提供者的配送服务状况。发现问题应及时与相关方沟通，督促各方持续改进。</w:t>
      </w:r>
    </w:p>
    <w:p w14:paraId="0ADCC7E3">
      <w:pPr>
        <w:pStyle w:val="162"/>
      </w:pPr>
      <w:r>
        <w:rPr>
          <w:rFonts w:hint="eastAsia"/>
        </w:rPr>
        <w:t>鼓励自评与第三方评价相结合的评价机制，第三方平台、入网</w:t>
      </w:r>
      <w:bookmarkStart w:id="57" w:name="OLE_LINK13"/>
      <w:bookmarkStart w:id="58" w:name="OLE_LINK14"/>
      <w:r>
        <w:rPr>
          <w:rFonts w:hint="eastAsia"/>
        </w:rPr>
        <w:t>餐饮服务提供者</w:t>
      </w:r>
      <w:bookmarkEnd w:id="57"/>
      <w:bookmarkEnd w:id="58"/>
      <w:r>
        <w:rPr>
          <w:rFonts w:hint="eastAsia"/>
        </w:rPr>
        <w:t>、配送服务提供者定期开展食品安全自查自评，每季度至少开展1次，留存自查自评记录；行业协会定期组织第三方评价，公示评价结果。建立问题台账，明确整改责任人、整改措施及整改时限，实行闭环管理，整改完成后组织复核，留存整改及复核记录。</w:t>
      </w:r>
    </w:p>
    <w:bookmarkEnd w:id="21"/>
    <w:p w14:paraId="28E5F35E">
      <w:pPr>
        <w:pStyle w:val="162"/>
        <w:sectPr>
          <w:pgSz w:w="11906" w:h="16838"/>
          <w:pgMar w:top="1928" w:right="1134" w:bottom="1134" w:left="1134" w:header="1418" w:footer="1134" w:gutter="284"/>
          <w:pgNumType w:start="1"/>
          <w:cols w:space="425" w:num="1"/>
          <w:formProt w:val="0"/>
          <w:docGrid w:linePitch="312" w:charSpace="0"/>
        </w:sectPr>
      </w:pPr>
      <w:bookmarkStart w:id="59" w:name="BookMark6"/>
    </w:p>
    <w:p w14:paraId="436A2DF0">
      <w:pPr>
        <w:pStyle w:val="63"/>
        <w:spacing w:after="120"/>
      </w:pPr>
      <w:r>
        <w:rPr>
          <w:rFonts w:hint="eastAsia"/>
          <w:spacing w:val="105"/>
        </w:rPr>
        <w:t>参考文</w:t>
      </w:r>
      <w:r>
        <w:rPr>
          <w:rFonts w:hint="eastAsia"/>
        </w:rPr>
        <w:t>献</w:t>
      </w:r>
    </w:p>
    <w:p w14:paraId="5360B62C">
      <w:pPr>
        <w:pStyle w:val="56"/>
        <w:ind w:firstLine="420"/>
      </w:pPr>
      <w:r>
        <w:rPr>
          <w:rFonts w:hint="eastAsia"/>
        </w:rPr>
        <w:t>[1]  《中华人民共和国食品安全法》（中华人民共和国主席令 第五十六号）</w:t>
      </w:r>
    </w:p>
    <w:p w14:paraId="612951EB">
      <w:pPr>
        <w:pStyle w:val="56"/>
        <w:ind w:firstLine="420"/>
      </w:pPr>
      <w:r>
        <w:rPr>
          <w:rFonts w:hint="eastAsia"/>
        </w:rPr>
        <w:t>[2]  《中华人民共和国电子商务法》（中华人民共和国主席令 第七号）</w:t>
      </w:r>
    </w:p>
    <w:p w14:paraId="26D04304">
      <w:pPr>
        <w:pStyle w:val="56"/>
        <w:ind w:firstLine="420"/>
      </w:pPr>
      <w:r>
        <w:rPr>
          <w:rFonts w:hint="eastAsia"/>
        </w:rPr>
        <w:t>[3]  《辽宁省食品安全条例》</w:t>
      </w:r>
    </w:p>
    <w:p w14:paraId="30505135">
      <w:pPr>
        <w:pStyle w:val="56"/>
        <w:ind w:firstLine="420"/>
      </w:pPr>
      <w:r>
        <w:rPr>
          <w:rFonts w:hint="eastAsia"/>
        </w:rPr>
        <w:t>[4]</w:t>
      </w:r>
      <w:r>
        <w:t xml:space="preserve">  </w:t>
      </w:r>
      <w:r>
        <w:rPr>
          <w:rFonts w:hint="eastAsia"/>
        </w:rPr>
        <w:t>《网络餐饮服务食品安全监督管理办法》（国家市场监督管理总局令第31号）</w:t>
      </w:r>
    </w:p>
    <w:p w14:paraId="2AD2DBD8">
      <w:pPr>
        <w:pStyle w:val="56"/>
        <w:ind w:firstLine="420"/>
      </w:pPr>
      <w:r>
        <w:rPr>
          <w:rFonts w:hint="eastAsia"/>
        </w:rPr>
        <w:t>[5]</w:t>
      </w:r>
      <w:r>
        <w:t xml:space="preserve">  </w:t>
      </w:r>
      <w:r>
        <w:rPr>
          <w:rFonts w:hint="eastAsia"/>
        </w:rPr>
        <w:t>《网络餐饮服务经营者落实食品安全主体责任监督管理规定》（国家市场监督管理总局令第123号）</w:t>
      </w:r>
    </w:p>
    <w:p w14:paraId="272B698B">
      <w:pPr>
        <w:pStyle w:val="56"/>
        <w:ind w:firstLine="420"/>
      </w:pPr>
      <w:r>
        <w:rPr>
          <w:rFonts w:hint="eastAsia"/>
        </w:rPr>
        <w:t xml:space="preserve">[6] </w:t>
      </w:r>
      <w:r>
        <w:t xml:space="preserve"> </w:t>
      </w:r>
      <w:r>
        <w:rPr>
          <w:rFonts w:hint="eastAsia"/>
        </w:rPr>
        <w:t>GB/T 39002-2020</w:t>
      </w:r>
      <w:r>
        <w:t xml:space="preserve"> </w:t>
      </w:r>
      <w:r>
        <w:rPr>
          <w:rFonts w:hint="eastAsia"/>
        </w:rPr>
        <w:t>餐饮分餐制服务指南</w:t>
      </w:r>
    </w:p>
    <w:p w14:paraId="2F8A0F7E">
      <w:pPr>
        <w:pStyle w:val="56"/>
        <w:ind w:firstLine="420"/>
      </w:pPr>
      <w:r>
        <w:rPr>
          <w:rFonts w:hint="eastAsia"/>
        </w:rPr>
        <w:t xml:space="preserve">[7] </w:t>
      </w:r>
      <w:r>
        <w:t xml:space="preserve"> </w:t>
      </w:r>
      <w:r>
        <w:rPr>
          <w:rFonts w:hint="eastAsia"/>
        </w:rPr>
        <w:t>GB/T 46862-2025</w:t>
      </w:r>
      <w:r>
        <w:t xml:space="preserve"> </w:t>
      </w:r>
      <w:r>
        <w:rPr>
          <w:rFonts w:hint="eastAsia"/>
        </w:rPr>
        <w:t>外卖平台服务管理基本要求</w:t>
      </w:r>
    </w:p>
    <w:p w14:paraId="623CE44F">
      <w:pPr>
        <w:pStyle w:val="56"/>
        <w:ind w:firstLine="420"/>
      </w:pPr>
      <w:r>
        <w:rPr>
          <w:rFonts w:hint="eastAsia"/>
        </w:rPr>
        <w:t>[</w:t>
      </w:r>
      <w:r>
        <w:t>8</w:t>
      </w:r>
      <w:r>
        <w:rPr>
          <w:rFonts w:hint="eastAsia"/>
        </w:rPr>
        <w:t xml:space="preserve">] </w:t>
      </w:r>
      <w:r>
        <w:t xml:space="preserve"> </w:t>
      </w:r>
      <w:r>
        <w:rPr>
          <w:rFonts w:hint="eastAsia"/>
        </w:rPr>
        <w:t>SB/T 11254-2025</w:t>
      </w:r>
      <w:r>
        <w:t xml:space="preserve"> </w:t>
      </w:r>
      <w:r>
        <w:rPr>
          <w:rFonts w:hint="eastAsia"/>
        </w:rPr>
        <w:t>餐饮外送服务与管理要求</w:t>
      </w:r>
    </w:p>
    <w:p w14:paraId="7E92A0E9">
      <w:pPr>
        <w:pStyle w:val="56"/>
        <w:ind w:firstLine="420"/>
      </w:pPr>
      <w:r>
        <w:rPr>
          <w:rFonts w:hint="eastAsia"/>
        </w:rPr>
        <w:t>[</w:t>
      </w:r>
      <w:r>
        <w:t>9</w:t>
      </w:r>
      <w:r>
        <w:rPr>
          <w:rFonts w:hint="eastAsia"/>
        </w:rPr>
        <w:t>]</w:t>
      </w:r>
      <w:r>
        <w:t xml:space="preserve">  </w:t>
      </w:r>
      <w:r>
        <w:rPr>
          <w:rFonts w:hint="eastAsia"/>
        </w:rPr>
        <w:t>SB/T 10580-2011</w:t>
      </w:r>
      <w:r>
        <w:t xml:space="preserve"> </w:t>
      </w:r>
      <w:r>
        <w:rPr>
          <w:rFonts w:hint="eastAsia"/>
        </w:rPr>
        <w:t>功能要求与评价规范 网络餐饮</w:t>
      </w:r>
    </w:p>
    <w:bookmarkEnd w:id="59"/>
    <w:p w14:paraId="18038D0D">
      <w:pPr>
        <w:pStyle w:val="162"/>
        <w:numPr>
          <w:ilvl w:val="0"/>
          <w:numId w:val="0"/>
        </w:numPr>
        <w:jc w:val="center"/>
      </w:pPr>
      <w:bookmarkStart w:id="60" w:name="BookMark8"/>
      <w:r>
        <w:rPr>
          <w:rFonts w:hint="eastAsia"/>
        </w:rPr>
        <w:drawing>
          <wp:inline distT="0" distB="0" distL="0" distR="0">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0"/>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CEEC27">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E33CE">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34BD2">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FD193">
    <w:pPr>
      <w:pStyle w:val="52"/>
    </w:pPr>
    <w:r>
      <w:fldChar w:fldCharType="begin"/>
    </w:r>
    <w:r>
      <w:instrText xml:space="preserve">PAGE   \* MERGEFORMAT</w:instrText>
    </w:r>
    <w:r>
      <w:fldChar w:fldCharType="separate"/>
    </w:r>
    <w:r>
      <w:rPr>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999A">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D284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B26B">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E4017">
    <w:pPr>
      <w:pStyle w:val="61"/>
    </w:pPr>
    <w:r>
      <w:fldChar w:fldCharType="begin"/>
    </w:r>
    <w:r>
      <w:instrText xml:space="preserve"> STYLEREF  标准文件_文件编号  \* MERGEFORMAT </w:instrText>
    </w:r>
    <w:r>
      <w:fldChar w:fldCharType="separate"/>
    </w:r>
    <w:r>
      <w:t>T/DLAS 22—2026</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8EBAD">
    <w:pPr>
      <w:pStyle w:val="18"/>
      <w:jc w:val="right"/>
    </w:pPr>
    <w:r>
      <w:fldChar w:fldCharType="begin"/>
    </w:r>
    <w:r>
      <w:instrText xml:space="preserve"> STYLEREF  标准文件_文件编号  \* MERGEFORMAT </w:instrText>
    </w:r>
    <w:r>
      <w:fldChar w:fldCharType="separate"/>
    </w:r>
    <w:r>
      <w:t>T/DLAS 22—2026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992"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33A"/>
    <w:rsid w:val="0000040A"/>
    <w:rsid w:val="00000A94"/>
    <w:rsid w:val="00001972"/>
    <w:rsid w:val="00001D9A"/>
    <w:rsid w:val="00002640"/>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189"/>
    <w:rsid w:val="00047F28"/>
    <w:rsid w:val="000503AA"/>
    <w:rsid w:val="000506A1"/>
    <w:rsid w:val="000515DD"/>
    <w:rsid w:val="0005265A"/>
    <w:rsid w:val="00052E60"/>
    <w:rsid w:val="000539DD"/>
    <w:rsid w:val="00053BD3"/>
    <w:rsid w:val="000556ED"/>
    <w:rsid w:val="00055FE2"/>
    <w:rsid w:val="0005616F"/>
    <w:rsid w:val="00060C2E"/>
    <w:rsid w:val="00061033"/>
    <w:rsid w:val="000619E9"/>
    <w:rsid w:val="00061B43"/>
    <w:rsid w:val="000622D4"/>
    <w:rsid w:val="0006357D"/>
    <w:rsid w:val="00064413"/>
    <w:rsid w:val="00067F1E"/>
    <w:rsid w:val="00071CC0"/>
    <w:rsid w:val="00071CFC"/>
    <w:rsid w:val="00073C8C"/>
    <w:rsid w:val="00077B64"/>
    <w:rsid w:val="00080A1C"/>
    <w:rsid w:val="00082317"/>
    <w:rsid w:val="0008344D"/>
    <w:rsid w:val="00083D2C"/>
    <w:rsid w:val="00086AA1"/>
    <w:rsid w:val="00087A77"/>
    <w:rsid w:val="00090CA6"/>
    <w:rsid w:val="00092B8A"/>
    <w:rsid w:val="00092FB0"/>
    <w:rsid w:val="000934C5"/>
    <w:rsid w:val="00093D25"/>
    <w:rsid w:val="00093DAB"/>
    <w:rsid w:val="000941E2"/>
    <w:rsid w:val="00094D73"/>
    <w:rsid w:val="00096D63"/>
    <w:rsid w:val="000A0B60"/>
    <w:rsid w:val="000A0EB8"/>
    <w:rsid w:val="000A19FC"/>
    <w:rsid w:val="000A296B"/>
    <w:rsid w:val="000A42DC"/>
    <w:rsid w:val="000A4404"/>
    <w:rsid w:val="000A5BE2"/>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489"/>
    <w:rsid w:val="000F19D5"/>
    <w:rsid w:val="000F4050"/>
    <w:rsid w:val="000F4AEA"/>
    <w:rsid w:val="000F67E9"/>
    <w:rsid w:val="000F7AD6"/>
    <w:rsid w:val="00101D3E"/>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2B0A"/>
    <w:rsid w:val="001446C2"/>
    <w:rsid w:val="001457E7"/>
    <w:rsid w:val="00145D9D"/>
    <w:rsid w:val="00146388"/>
    <w:rsid w:val="001529E5"/>
    <w:rsid w:val="00152FB3"/>
    <w:rsid w:val="00153C7E"/>
    <w:rsid w:val="00156B25"/>
    <w:rsid w:val="00156E1A"/>
    <w:rsid w:val="00157894"/>
    <w:rsid w:val="00157B55"/>
    <w:rsid w:val="001632D0"/>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0AE0"/>
    <w:rsid w:val="00183CB9"/>
    <w:rsid w:val="00183D4F"/>
    <w:rsid w:val="001852C9"/>
    <w:rsid w:val="00187A0B"/>
    <w:rsid w:val="00187E57"/>
    <w:rsid w:val="00190087"/>
    <w:rsid w:val="001913C4"/>
    <w:rsid w:val="0019348F"/>
    <w:rsid w:val="00193A07"/>
    <w:rsid w:val="00194C95"/>
    <w:rsid w:val="00195C34"/>
    <w:rsid w:val="00196EF5"/>
    <w:rsid w:val="001A1A53"/>
    <w:rsid w:val="001A234A"/>
    <w:rsid w:val="001A4CF3"/>
    <w:rsid w:val="001A5ECA"/>
    <w:rsid w:val="001A6696"/>
    <w:rsid w:val="001B06E8"/>
    <w:rsid w:val="001B543D"/>
    <w:rsid w:val="001B662A"/>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6042"/>
    <w:rsid w:val="001E73AB"/>
    <w:rsid w:val="001F092D"/>
    <w:rsid w:val="001F143A"/>
    <w:rsid w:val="001F1605"/>
    <w:rsid w:val="001F2508"/>
    <w:rsid w:val="001F4816"/>
    <w:rsid w:val="001F67F8"/>
    <w:rsid w:val="001F69B4"/>
    <w:rsid w:val="001F77C7"/>
    <w:rsid w:val="001F7E4F"/>
    <w:rsid w:val="00200183"/>
    <w:rsid w:val="00200333"/>
    <w:rsid w:val="0020107D"/>
    <w:rsid w:val="002010A4"/>
    <w:rsid w:val="00201CAD"/>
    <w:rsid w:val="00202944"/>
    <w:rsid w:val="00202AA4"/>
    <w:rsid w:val="002031F7"/>
    <w:rsid w:val="002040E6"/>
    <w:rsid w:val="0020527B"/>
    <w:rsid w:val="00205F2C"/>
    <w:rsid w:val="00206C2C"/>
    <w:rsid w:val="00210B15"/>
    <w:rsid w:val="002118B5"/>
    <w:rsid w:val="002142EA"/>
    <w:rsid w:val="00215ADD"/>
    <w:rsid w:val="00216E0A"/>
    <w:rsid w:val="002204BB"/>
    <w:rsid w:val="00221B79"/>
    <w:rsid w:val="00221C6B"/>
    <w:rsid w:val="00223677"/>
    <w:rsid w:val="002253A1"/>
    <w:rsid w:val="00225CF8"/>
    <w:rsid w:val="0022794E"/>
    <w:rsid w:val="0023327A"/>
    <w:rsid w:val="00233ADC"/>
    <w:rsid w:val="00233D64"/>
    <w:rsid w:val="0023482A"/>
    <w:rsid w:val="002359CB"/>
    <w:rsid w:val="00243540"/>
    <w:rsid w:val="0024497B"/>
    <w:rsid w:val="0024515B"/>
    <w:rsid w:val="00246021"/>
    <w:rsid w:val="0024666E"/>
    <w:rsid w:val="00247F52"/>
    <w:rsid w:val="00250B25"/>
    <w:rsid w:val="00250BBE"/>
    <w:rsid w:val="002515C2"/>
    <w:rsid w:val="0025194F"/>
    <w:rsid w:val="00251B51"/>
    <w:rsid w:val="00252174"/>
    <w:rsid w:val="0026148A"/>
    <w:rsid w:val="0026171A"/>
    <w:rsid w:val="00261FED"/>
    <w:rsid w:val="00262696"/>
    <w:rsid w:val="0026362C"/>
    <w:rsid w:val="00263D25"/>
    <w:rsid w:val="002643C3"/>
    <w:rsid w:val="00264A0C"/>
    <w:rsid w:val="00265F7C"/>
    <w:rsid w:val="00266EEB"/>
    <w:rsid w:val="00267EF4"/>
    <w:rsid w:val="00267FA3"/>
    <w:rsid w:val="002709B0"/>
    <w:rsid w:val="00270CB8"/>
    <w:rsid w:val="002723E0"/>
    <w:rsid w:val="00272B08"/>
    <w:rsid w:val="00275953"/>
    <w:rsid w:val="00281BB8"/>
    <w:rsid w:val="00281E9E"/>
    <w:rsid w:val="00282405"/>
    <w:rsid w:val="00285170"/>
    <w:rsid w:val="00285361"/>
    <w:rsid w:val="00292D60"/>
    <w:rsid w:val="00293B30"/>
    <w:rsid w:val="00293DEC"/>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D41"/>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1179"/>
    <w:rsid w:val="002E2C79"/>
    <w:rsid w:val="002E2E45"/>
    <w:rsid w:val="002E4D5A"/>
    <w:rsid w:val="002E52EE"/>
    <w:rsid w:val="002E6326"/>
    <w:rsid w:val="002F30E0"/>
    <w:rsid w:val="002F35E4"/>
    <w:rsid w:val="002F3730"/>
    <w:rsid w:val="002F38E1"/>
    <w:rsid w:val="002F4E78"/>
    <w:rsid w:val="002F6415"/>
    <w:rsid w:val="002F7AF6"/>
    <w:rsid w:val="003007B0"/>
    <w:rsid w:val="00300E63"/>
    <w:rsid w:val="00302F5F"/>
    <w:rsid w:val="0030324D"/>
    <w:rsid w:val="0030441D"/>
    <w:rsid w:val="003052BA"/>
    <w:rsid w:val="00306063"/>
    <w:rsid w:val="00306EF4"/>
    <w:rsid w:val="00313B85"/>
    <w:rsid w:val="00317988"/>
    <w:rsid w:val="00321819"/>
    <w:rsid w:val="003221B4"/>
    <w:rsid w:val="0032258D"/>
    <w:rsid w:val="00322E62"/>
    <w:rsid w:val="00324D13"/>
    <w:rsid w:val="00324EDD"/>
    <w:rsid w:val="00327030"/>
    <w:rsid w:val="003331E4"/>
    <w:rsid w:val="00336277"/>
    <w:rsid w:val="00336C64"/>
    <w:rsid w:val="00337162"/>
    <w:rsid w:val="0034194F"/>
    <w:rsid w:val="00344605"/>
    <w:rsid w:val="003474AA"/>
    <w:rsid w:val="00350D1D"/>
    <w:rsid w:val="00352C83"/>
    <w:rsid w:val="00352E31"/>
    <w:rsid w:val="00352F1A"/>
    <w:rsid w:val="0036107C"/>
    <w:rsid w:val="003611D4"/>
    <w:rsid w:val="003615D2"/>
    <w:rsid w:val="0036429C"/>
    <w:rsid w:val="00364A53"/>
    <w:rsid w:val="003654CB"/>
    <w:rsid w:val="00365AA9"/>
    <w:rsid w:val="00365F86"/>
    <w:rsid w:val="00365F87"/>
    <w:rsid w:val="00366E89"/>
    <w:rsid w:val="003677D1"/>
    <w:rsid w:val="003705F4"/>
    <w:rsid w:val="00370D58"/>
    <w:rsid w:val="00371316"/>
    <w:rsid w:val="003738C2"/>
    <w:rsid w:val="00376713"/>
    <w:rsid w:val="00376FEF"/>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1676"/>
    <w:rsid w:val="003D262C"/>
    <w:rsid w:val="003D3813"/>
    <w:rsid w:val="003D6D61"/>
    <w:rsid w:val="003D74A8"/>
    <w:rsid w:val="003E019F"/>
    <w:rsid w:val="003E091D"/>
    <w:rsid w:val="003E1C53"/>
    <w:rsid w:val="003E2A69"/>
    <w:rsid w:val="003E2D49"/>
    <w:rsid w:val="003E2FD4"/>
    <w:rsid w:val="003E49F6"/>
    <w:rsid w:val="003E52D1"/>
    <w:rsid w:val="003E660F"/>
    <w:rsid w:val="003F0841"/>
    <w:rsid w:val="003F107B"/>
    <w:rsid w:val="003F23D3"/>
    <w:rsid w:val="003F2F20"/>
    <w:rsid w:val="003F3F08"/>
    <w:rsid w:val="003F49F1"/>
    <w:rsid w:val="003F6272"/>
    <w:rsid w:val="00400E72"/>
    <w:rsid w:val="00401400"/>
    <w:rsid w:val="00403615"/>
    <w:rsid w:val="00404869"/>
    <w:rsid w:val="00405884"/>
    <w:rsid w:val="00407D39"/>
    <w:rsid w:val="0041477A"/>
    <w:rsid w:val="004167A3"/>
    <w:rsid w:val="004311E1"/>
    <w:rsid w:val="00432D63"/>
    <w:rsid w:val="00432DAA"/>
    <w:rsid w:val="00434305"/>
    <w:rsid w:val="00435DF7"/>
    <w:rsid w:val="0043741A"/>
    <w:rsid w:val="0044083F"/>
    <w:rsid w:val="0044155A"/>
    <w:rsid w:val="00441AE7"/>
    <w:rsid w:val="00445239"/>
    <w:rsid w:val="00445574"/>
    <w:rsid w:val="004467FB"/>
    <w:rsid w:val="00452D19"/>
    <w:rsid w:val="00452D6B"/>
    <w:rsid w:val="00454484"/>
    <w:rsid w:val="0045517B"/>
    <w:rsid w:val="00462CB8"/>
    <w:rsid w:val="00463B77"/>
    <w:rsid w:val="00463C7B"/>
    <w:rsid w:val="004644A6"/>
    <w:rsid w:val="0046463F"/>
    <w:rsid w:val="004659BD"/>
    <w:rsid w:val="00470775"/>
    <w:rsid w:val="00472F14"/>
    <w:rsid w:val="004746B1"/>
    <w:rsid w:val="0047583F"/>
    <w:rsid w:val="00475DE8"/>
    <w:rsid w:val="0047627B"/>
    <w:rsid w:val="00481C44"/>
    <w:rsid w:val="00482C93"/>
    <w:rsid w:val="00484936"/>
    <w:rsid w:val="00485C89"/>
    <w:rsid w:val="00486BE3"/>
    <w:rsid w:val="004905E4"/>
    <w:rsid w:val="00490A89"/>
    <w:rsid w:val="00490AB4"/>
    <w:rsid w:val="00492F02"/>
    <w:rsid w:val="004939AE"/>
    <w:rsid w:val="004A12DF"/>
    <w:rsid w:val="004A1BA8"/>
    <w:rsid w:val="004A4B57"/>
    <w:rsid w:val="004A63FA"/>
    <w:rsid w:val="004A6586"/>
    <w:rsid w:val="004A6A3D"/>
    <w:rsid w:val="004B0272"/>
    <w:rsid w:val="004B2701"/>
    <w:rsid w:val="004B2E1B"/>
    <w:rsid w:val="004B3AA8"/>
    <w:rsid w:val="004B3E93"/>
    <w:rsid w:val="004B5A37"/>
    <w:rsid w:val="004C0F86"/>
    <w:rsid w:val="004C1FBC"/>
    <w:rsid w:val="004C25A2"/>
    <w:rsid w:val="004C3F1D"/>
    <w:rsid w:val="004C4173"/>
    <w:rsid w:val="004C458D"/>
    <w:rsid w:val="004C7556"/>
    <w:rsid w:val="004C7E8B"/>
    <w:rsid w:val="004C7E9D"/>
    <w:rsid w:val="004C7F67"/>
    <w:rsid w:val="004D076D"/>
    <w:rsid w:val="004D0EF1"/>
    <w:rsid w:val="004D2253"/>
    <w:rsid w:val="004D4406"/>
    <w:rsid w:val="004D7208"/>
    <w:rsid w:val="004D7C42"/>
    <w:rsid w:val="004E0465"/>
    <w:rsid w:val="004E127B"/>
    <w:rsid w:val="004E1C0A"/>
    <w:rsid w:val="004E30C5"/>
    <w:rsid w:val="004E4AA5"/>
    <w:rsid w:val="004E4AEE"/>
    <w:rsid w:val="004E59E3"/>
    <w:rsid w:val="004E67C0"/>
    <w:rsid w:val="004E7FBD"/>
    <w:rsid w:val="004F0EB8"/>
    <w:rsid w:val="004F391A"/>
    <w:rsid w:val="004F3CFB"/>
    <w:rsid w:val="004F6456"/>
    <w:rsid w:val="004F696E"/>
    <w:rsid w:val="004F6C71"/>
    <w:rsid w:val="00501139"/>
    <w:rsid w:val="00503590"/>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7BD1"/>
    <w:rsid w:val="0053391F"/>
    <w:rsid w:val="00533D04"/>
    <w:rsid w:val="00534804"/>
    <w:rsid w:val="00534BDF"/>
    <w:rsid w:val="005354EA"/>
    <w:rsid w:val="0053585F"/>
    <w:rsid w:val="00535EC4"/>
    <w:rsid w:val="00535ED9"/>
    <w:rsid w:val="0053692B"/>
    <w:rsid w:val="00541853"/>
    <w:rsid w:val="00543BDA"/>
    <w:rsid w:val="005441CC"/>
    <w:rsid w:val="00547299"/>
    <w:rsid w:val="005479DA"/>
    <w:rsid w:val="00547BCC"/>
    <w:rsid w:val="0055013B"/>
    <w:rsid w:val="00551F6F"/>
    <w:rsid w:val="00555044"/>
    <w:rsid w:val="00561475"/>
    <w:rsid w:val="00562308"/>
    <w:rsid w:val="0056487B"/>
    <w:rsid w:val="00564FB9"/>
    <w:rsid w:val="00565354"/>
    <w:rsid w:val="00572EE7"/>
    <w:rsid w:val="00573D9E"/>
    <w:rsid w:val="005801E3"/>
    <w:rsid w:val="00581802"/>
    <w:rsid w:val="005836A8"/>
    <w:rsid w:val="0058409C"/>
    <w:rsid w:val="00584262"/>
    <w:rsid w:val="00586630"/>
    <w:rsid w:val="00587ADD"/>
    <w:rsid w:val="00591F45"/>
    <w:rsid w:val="00593A49"/>
    <w:rsid w:val="00596160"/>
    <w:rsid w:val="005966E2"/>
    <w:rsid w:val="00597007"/>
    <w:rsid w:val="005A0966"/>
    <w:rsid w:val="005A11B7"/>
    <w:rsid w:val="005A260B"/>
    <w:rsid w:val="005A4A1B"/>
    <w:rsid w:val="005A7830"/>
    <w:rsid w:val="005A7CC7"/>
    <w:rsid w:val="005A7FCE"/>
    <w:rsid w:val="005B0F3F"/>
    <w:rsid w:val="005B191C"/>
    <w:rsid w:val="005B254E"/>
    <w:rsid w:val="005B4903"/>
    <w:rsid w:val="005B4D07"/>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25DD"/>
    <w:rsid w:val="005E34CA"/>
    <w:rsid w:val="005E3C18"/>
    <w:rsid w:val="005E4250"/>
    <w:rsid w:val="005E6812"/>
    <w:rsid w:val="005E7881"/>
    <w:rsid w:val="005E78E0"/>
    <w:rsid w:val="005F0D9C"/>
    <w:rsid w:val="005F284E"/>
    <w:rsid w:val="006015CE"/>
    <w:rsid w:val="00602901"/>
    <w:rsid w:val="00604784"/>
    <w:rsid w:val="00605D80"/>
    <w:rsid w:val="00606419"/>
    <w:rsid w:val="00607D29"/>
    <w:rsid w:val="00610F2E"/>
    <w:rsid w:val="006110C3"/>
    <w:rsid w:val="006122D7"/>
    <w:rsid w:val="00612952"/>
    <w:rsid w:val="00614CC1"/>
    <w:rsid w:val="00615A9D"/>
    <w:rsid w:val="00617387"/>
    <w:rsid w:val="006205D6"/>
    <w:rsid w:val="0062369A"/>
    <w:rsid w:val="006252D8"/>
    <w:rsid w:val="006259BC"/>
    <w:rsid w:val="0062636B"/>
    <w:rsid w:val="00630F98"/>
    <w:rsid w:val="00632182"/>
    <w:rsid w:val="00632AE0"/>
    <w:rsid w:val="00633C17"/>
    <w:rsid w:val="00634C4C"/>
    <w:rsid w:val="00634D9E"/>
    <w:rsid w:val="00636E3E"/>
    <w:rsid w:val="006379F7"/>
    <w:rsid w:val="00637E4D"/>
    <w:rsid w:val="00640620"/>
    <w:rsid w:val="00641A1F"/>
    <w:rsid w:val="00645904"/>
    <w:rsid w:val="00651ACB"/>
    <w:rsid w:val="00651C47"/>
    <w:rsid w:val="00652AB2"/>
    <w:rsid w:val="00653FED"/>
    <w:rsid w:val="00654A7C"/>
    <w:rsid w:val="00654EC0"/>
    <w:rsid w:val="0065525B"/>
    <w:rsid w:val="00655D4F"/>
    <w:rsid w:val="00656D29"/>
    <w:rsid w:val="006640E5"/>
    <w:rsid w:val="006646F1"/>
    <w:rsid w:val="00664929"/>
    <w:rsid w:val="00664F62"/>
    <w:rsid w:val="006655E1"/>
    <w:rsid w:val="00672060"/>
    <w:rsid w:val="00672BFD"/>
    <w:rsid w:val="00676EFD"/>
    <w:rsid w:val="006770F4"/>
    <w:rsid w:val="00677A84"/>
    <w:rsid w:val="0068026D"/>
    <w:rsid w:val="00680A27"/>
    <w:rsid w:val="00680A5C"/>
    <w:rsid w:val="006816A4"/>
    <w:rsid w:val="006819B8"/>
    <w:rsid w:val="006840A6"/>
    <w:rsid w:val="006850CD"/>
    <w:rsid w:val="00685AAB"/>
    <w:rsid w:val="00693962"/>
    <w:rsid w:val="006A07AA"/>
    <w:rsid w:val="006A25E5"/>
    <w:rsid w:val="006A2B46"/>
    <w:rsid w:val="006A336D"/>
    <w:rsid w:val="006A37B9"/>
    <w:rsid w:val="006B2672"/>
    <w:rsid w:val="006B29DC"/>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5358"/>
    <w:rsid w:val="006F6284"/>
    <w:rsid w:val="007002C5"/>
    <w:rsid w:val="00704387"/>
    <w:rsid w:val="00707669"/>
    <w:rsid w:val="00711CBA"/>
    <w:rsid w:val="00711FB5"/>
    <w:rsid w:val="00712A01"/>
    <w:rsid w:val="00714F58"/>
    <w:rsid w:val="00720C50"/>
    <w:rsid w:val="00722FBF"/>
    <w:rsid w:val="00722FC2"/>
    <w:rsid w:val="00724DF8"/>
    <w:rsid w:val="00724E1B"/>
    <w:rsid w:val="00725949"/>
    <w:rsid w:val="00727FA2"/>
    <w:rsid w:val="007322D9"/>
    <w:rsid w:val="00732BC0"/>
    <w:rsid w:val="007346A9"/>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2F6D"/>
    <w:rsid w:val="00755402"/>
    <w:rsid w:val="00755C81"/>
    <w:rsid w:val="00756B26"/>
    <w:rsid w:val="00756EDF"/>
    <w:rsid w:val="007600E3"/>
    <w:rsid w:val="00765C43"/>
    <w:rsid w:val="00765EFB"/>
    <w:rsid w:val="007671CA"/>
    <w:rsid w:val="00767C61"/>
    <w:rsid w:val="0077008A"/>
    <w:rsid w:val="0077305E"/>
    <w:rsid w:val="00773C1F"/>
    <w:rsid w:val="00774DA4"/>
    <w:rsid w:val="00776599"/>
    <w:rsid w:val="00777314"/>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2885"/>
    <w:rsid w:val="007B5A3D"/>
    <w:rsid w:val="007B5B95"/>
    <w:rsid w:val="007B6032"/>
    <w:rsid w:val="007B6116"/>
    <w:rsid w:val="007B68EA"/>
    <w:rsid w:val="007B7453"/>
    <w:rsid w:val="007C04AD"/>
    <w:rsid w:val="007C2D89"/>
    <w:rsid w:val="007C4593"/>
    <w:rsid w:val="007C5309"/>
    <w:rsid w:val="007C6069"/>
    <w:rsid w:val="007D06C4"/>
    <w:rsid w:val="007D1352"/>
    <w:rsid w:val="007D2508"/>
    <w:rsid w:val="007D346A"/>
    <w:rsid w:val="007D4FF5"/>
    <w:rsid w:val="007D6518"/>
    <w:rsid w:val="007D76BD"/>
    <w:rsid w:val="007E0BF1"/>
    <w:rsid w:val="007F0ED8"/>
    <w:rsid w:val="007F0F63"/>
    <w:rsid w:val="007F1EFE"/>
    <w:rsid w:val="007F2A96"/>
    <w:rsid w:val="007F36DC"/>
    <w:rsid w:val="007F75CE"/>
    <w:rsid w:val="007F76A5"/>
    <w:rsid w:val="008013A4"/>
    <w:rsid w:val="008027CE"/>
    <w:rsid w:val="00802F42"/>
    <w:rsid w:val="00804383"/>
    <w:rsid w:val="00804BB7"/>
    <w:rsid w:val="00804D41"/>
    <w:rsid w:val="00804DE7"/>
    <w:rsid w:val="008073BC"/>
    <w:rsid w:val="00810257"/>
    <w:rsid w:val="008104F5"/>
    <w:rsid w:val="00811072"/>
    <w:rsid w:val="00811369"/>
    <w:rsid w:val="00815419"/>
    <w:rsid w:val="00815C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2B1"/>
    <w:rsid w:val="00843C13"/>
    <w:rsid w:val="00843DEF"/>
    <w:rsid w:val="008454F8"/>
    <w:rsid w:val="0085173A"/>
    <w:rsid w:val="008603CE"/>
    <w:rsid w:val="008620FC"/>
    <w:rsid w:val="008627A5"/>
    <w:rsid w:val="00863E05"/>
    <w:rsid w:val="00865ACA"/>
    <w:rsid w:val="00865D28"/>
    <w:rsid w:val="00865F85"/>
    <w:rsid w:val="00866AE3"/>
    <w:rsid w:val="00867C10"/>
    <w:rsid w:val="00870439"/>
    <w:rsid w:val="00870DA1"/>
    <w:rsid w:val="00871EC2"/>
    <w:rsid w:val="00872166"/>
    <w:rsid w:val="0087348D"/>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C20"/>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48E0"/>
    <w:rsid w:val="008C619A"/>
    <w:rsid w:val="008D0CE8"/>
    <w:rsid w:val="008D2D1D"/>
    <w:rsid w:val="008D453D"/>
    <w:rsid w:val="008D53AD"/>
    <w:rsid w:val="008D562B"/>
    <w:rsid w:val="008D5733"/>
    <w:rsid w:val="008D622B"/>
    <w:rsid w:val="008D666C"/>
    <w:rsid w:val="008D7B54"/>
    <w:rsid w:val="008E0387"/>
    <w:rsid w:val="008E0C9D"/>
    <w:rsid w:val="008E1648"/>
    <w:rsid w:val="008E1B3E"/>
    <w:rsid w:val="008E2319"/>
    <w:rsid w:val="008E30CA"/>
    <w:rsid w:val="008E4BB6"/>
    <w:rsid w:val="008E5518"/>
    <w:rsid w:val="008E6A84"/>
    <w:rsid w:val="008F0CDC"/>
    <w:rsid w:val="008F17A3"/>
    <w:rsid w:val="008F1ED3"/>
    <w:rsid w:val="008F3C2C"/>
    <w:rsid w:val="008F4C29"/>
    <w:rsid w:val="008F70BD"/>
    <w:rsid w:val="008F788F"/>
    <w:rsid w:val="008F7EA2"/>
    <w:rsid w:val="00900678"/>
    <w:rsid w:val="00902722"/>
    <w:rsid w:val="009027BC"/>
    <w:rsid w:val="009062E6"/>
    <w:rsid w:val="00911BE5"/>
    <w:rsid w:val="00912DD6"/>
    <w:rsid w:val="00913CA9"/>
    <w:rsid w:val="009145AE"/>
    <w:rsid w:val="009146CE"/>
    <w:rsid w:val="00914CA7"/>
    <w:rsid w:val="00915C3E"/>
    <w:rsid w:val="00915C7E"/>
    <w:rsid w:val="009161A8"/>
    <w:rsid w:val="009245AE"/>
    <w:rsid w:val="009245F5"/>
    <w:rsid w:val="009249EC"/>
    <w:rsid w:val="00925BAF"/>
    <w:rsid w:val="009273B3"/>
    <w:rsid w:val="009305B5"/>
    <w:rsid w:val="009378DD"/>
    <w:rsid w:val="009429D5"/>
    <w:rsid w:val="00942BF1"/>
    <w:rsid w:val="00944455"/>
    <w:rsid w:val="00945122"/>
    <w:rsid w:val="00945180"/>
    <w:rsid w:val="00945428"/>
    <w:rsid w:val="00945754"/>
    <w:rsid w:val="0094607B"/>
    <w:rsid w:val="009462F3"/>
    <w:rsid w:val="00950C8D"/>
    <w:rsid w:val="00952B34"/>
    <w:rsid w:val="00953604"/>
    <w:rsid w:val="009546F0"/>
    <w:rsid w:val="0095496B"/>
    <w:rsid w:val="00960F1E"/>
    <w:rsid w:val="009610DC"/>
    <w:rsid w:val="00961490"/>
    <w:rsid w:val="00963440"/>
    <w:rsid w:val="0096381A"/>
    <w:rsid w:val="00965E04"/>
    <w:rsid w:val="009674AD"/>
    <w:rsid w:val="00970CDC"/>
    <w:rsid w:val="00975084"/>
    <w:rsid w:val="00975727"/>
    <w:rsid w:val="009760A6"/>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06A"/>
    <w:rsid w:val="009A5429"/>
    <w:rsid w:val="009A72AD"/>
    <w:rsid w:val="009B09E0"/>
    <w:rsid w:val="009B0BC5"/>
    <w:rsid w:val="009B1247"/>
    <w:rsid w:val="009B6029"/>
    <w:rsid w:val="009B6971"/>
    <w:rsid w:val="009C27F1"/>
    <w:rsid w:val="009C3152"/>
    <w:rsid w:val="009C3257"/>
    <w:rsid w:val="009C4A07"/>
    <w:rsid w:val="009C4CFA"/>
    <w:rsid w:val="009C5070"/>
    <w:rsid w:val="009D112C"/>
    <w:rsid w:val="009D1385"/>
    <w:rsid w:val="009D47FA"/>
    <w:rsid w:val="009D4C5B"/>
    <w:rsid w:val="009D50D2"/>
    <w:rsid w:val="009D6BCA"/>
    <w:rsid w:val="009D7349"/>
    <w:rsid w:val="009D7C90"/>
    <w:rsid w:val="009E0F62"/>
    <w:rsid w:val="009E2E58"/>
    <w:rsid w:val="009E4A58"/>
    <w:rsid w:val="009E5A2D"/>
    <w:rsid w:val="009E5AB2"/>
    <w:rsid w:val="009E6219"/>
    <w:rsid w:val="009F03B3"/>
    <w:rsid w:val="009F2B8F"/>
    <w:rsid w:val="00A0096C"/>
    <w:rsid w:val="00A01757"/>
    <w:rsid w:val="00A028C0"/>
    <w:rsid w:val="00A02BAE"/>
    <w:rsid w:val="00A06A6B"/>
    <w:rsid w:val="00A07E47"/>
    <w:rsid w:val="00A07F52"/>
    <w:rsid w:val="00A1069A"/>
    <w:rsid w:val="00A129D0"/>
    <w:rsid w:val="00A12C33"/>
    <w:rsid w:val="00A138BA"/>
    <w:rsid w:val="00A14C8E"/>
    <w:rsid w:val="00A153D9"/>
    <w:rsid w:val="00A15F09"/>
    <w:rsid w:val="00A169B6"/>
    <w:rsid w:val="00A2271D"/>
    <w:rsid w:val="00A23457"/>
    <w:rsid w:val="00A237D5"/>
    <w:rsid w:val="00A24742"/>
    <w:rsid w:val="00A30EFC"/>
    <w:rsid w:val="00A31984"/>
    <w:rsid w:val="00A32D73"/>
    <w:rsid w:val="00A3367B"/>
    <w:rsid w:val="00A33C67"/>
    <w:rsid w:val="00A3597D"/>
    <w:rsid w:val="00A36DD1"/>
    <w:rsid w:val="00A370DE"/>
    <w:rsid w:val="00A4006C"/>
    <w:rsid w:val="00A40091"/>
    <w:rsid w:val="00A4030F"/>
    <w:rsid w:val="00A41C79"/>
    <w:rsid w:val="00A41CB5"/>
    <w:rsid w:val="00A42CDF"/>
    <w:rsid w:val="00A430E9"/>
    <w:rsid w:val="00A4452E"/>
    <w:rsid w:val="00A4472C"/>
    <w:rsid w:val="00A44E69"/>
    <w:rsid w:val="00A4661E"/>
    <w:rsid w:val="00A47E9B"/>
    <w:rsid w:val="00A55BD6"/>
    <w:rsid w:val="00A55D50"/>
    <w:rsid w:val="00A57142"/>
    <w:rsid w:val="00A648CD"/>
    <w:rsid w:val="00A6537A"/>
    <w:rsid w:val="00A67866"/>
    <w:rsid w:val="00A70612"/>
    <w:rsid w:val="00A70B07"/>
    <w:rsid w:val="00A723F8"/>
    <w:rsid w:val="00A77BA9"/>
    <w:rsid w:val="00A77CCB"/>
    <w:rsid w:val="00A83856"/>
    <w:rsid w:val="00A83D8D"/>
    <w:rsid w:val="00A8446B"/>
    <w:rsid w:val="00A8473F"/>
    <w:rsid w:val="00A862D6"/>
    <w:rsid w:val="00A8662D"/>
    <w:rsid w:val="00A8715E"/>
    <w:rsid w:val="00A9295B"/>
    <w:rsid w:val="00A93B09"/>
    <w:rsid w:val="00A952D7"/>
    <w:rsid w:val="00A963F7"/>
    <w:rsid w:val="00A96AD8"/>
    <w:rsid w:val="00AA052C"/>
    <w:rsid w:val="00AA1E45"/>
    <w:rsid w:val="00AA4286"/>
    <w:rsid w:val="00AA456B"/>
    <w:rsid w:val="00AA57F5"/>
    <w:rsid w:val="00AA672E"/>
    <w:rsid w:val="00AA6E91"/>
    <w:rsid w:val="00AA6EC9"/>
    <w:rsid w:val="00AB6309"/>
    <w:rsid w:val="00AB6C5F"/>
    <w:rsid w:val="00AB7129"/>
    <w:rsid w:val="00AC11F1"/>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919"/>
    <w:rsid w:val="00AE5EB4"/>
    <w:rsid w:val="00AF0C18"/>
    <w:rsid w:val="00AF11B4"/>
    <w:rsid w:val="00AF2865"/>
    <w:rsid w:val="00AF47C5"/>
    <w:rsid w:val="00AF5398"/>
    <w:rsid w:val="00B049AF"/>
    <w:rsid w:val="00B0667A"/>
    <w:rsid w:val="00B07242"/>
    <w:rsid w:val="00B10534"/>
    <w:rsid w:val="00B113DB"/>
    <w:rsid w:val="00B11D8A"/>
    <w:rsid w:val="00B12981"/>
    <w:rsid w:val="00B147DD"/>
    <w:rsid w:val="00B156FD"/>
    <w:rsid w:val="00B159EC"/>
    <w:rsid w:val="00B21B52"/>
    <w:rsid w:val="00B21F61"/>
    <w:rsid w:val="00B261F1"/>
    <w:rsid w:val="00B265BC"/>
    <w:rsid w:val="00B31FB1"/>
    <w:rsid w:val="00B33952"/>
    <w:rsid w:val="00B33C5E"/>
    <w:rsid w:val="00B342F4"/>
    <w:rsid w:val="00B34369"/>
    <w:rsid w:val="00B34DC2"/>
    <w:rsid w:val="00B378E5"/>
    <w:rsid w:val="00B4346D"/>
    <w:rsid w:val="00B440F4"/>
    <w:rsid w:val="00B443DA"/>
    <w:rsid w:val="00B447A5"/>
    <w:rsid w:val="00B4654C"/>
    <w:rsid w:val="00B47293"/>
    <w:rsid w:val="00B50E50"/>
    <w:rsid w:val="00B52120"/>
    <w:rsid w:val="00B534BA"/>
    <w:rsid w:val="00B53DDF"/>
    <w:rsid w:val="00B543A7"/>
    <w:rsid w:val="00B54ABC"/>
    <w:rsid w:val="00B56FBE"/>
    <w:rsid w:val="00B60ACF"/>
    <w:rsid w:val="00B62B58"/>
    <w:rsid w:val="00B65149"/>
    <w:rsid w:val="00B66567"/>
    <w:rsid w:val="00B66F52"/>
    <w:rsid w:val="00B66FE5"/>
    <w:rsid w:val="00B72880"/>
    <w:rsid w:val="00B758BF"/>
    <w:rsid w:val="00B76984"/>
    <w:rsid w:val="00B76FB8"/>
    <w:rsid w:val="00B77EC8"/>
    <w:rsid w:val="00B827A6"/>
    <w:rsid w:val="00B831CE"/>
    <w:rsid w:val="00B86677"/>
    <w:rsid w:val="00B87131"/>
    <w:rsid w:val="00B939B1"/>
    <w:rsid w:val="00B93C85"/>
    <w:rsid w:val="00B95241"/>
    <w:rsid w:val="00B96D40"/>
    <w:rsid w:val="00B97386"/>
    <w:rsid w:val="00BA263B"/>
    <w:rsid w:val="00BA36C0"/>
    <w:rsid w:val="00BA42B2"/>
    <w:rsid w:val="00BA58D4"/>
    <w:rsid w:val="00BA5B9E"/>
    <w:rsid w:val="00BA726D"/>
    <w:rsid w:val="00BA7C9A"/>
    <w:rsid w:val="00BB5F8F"/>
    <w:rsid w:val="00BB63C9"/>
    <w:rsid w:val="00BB657A"/>
    <w:rsid w:val="00BB7A27"/>
    <w:rsid w:val="00BC1A4E"/>
    <w:rsid w:val="00BC5DC7"/>
    <w:rsid w:val="00BC6B8B"/>
    <w:rsid w:val="00BC73D8"/>
    <w:rsid w:val="00BD2314"/>
    <w:rsid w:val="00BD52D7"/>
    <w:rsid w:val="00BD5AD2"/>
    <w:rsid w:val="00BD71E4"/>
    <w:rsid w:val="00BE22F3"/>
    <w:rsid w:val="00BE5B52"/>
    <w:rsid w:val="00BE7B8D"/>
    <w:rsid w:val="00BF0993"/>
    <w:rsid w:val="00BF10A9"/>
    <w:rsid w:val="00BF1703"/>
    <w:rsid w:val="00BF1FED"/>
    <w:rsid w:val="00BF231C"/>
    <w:rsid w:val="00BF4AD2"/>
    <w:rsid w:val="00BF51E5"/>
    <w:rsid w:val="00BF74A6"/>
    <w:rsid w:val="00C00916"/>
    <w:rsid w:val="00C010E2"/>
    <w:rsid w:val="00C013AD"/>
    <w:rsid w:val="00C04645"/>
    <w:rsid w:val="00C04904"/>
    <w:rsid w:val="00C056B3"/>
    <w:rsid w:val="00C103E5"/>
    <w:rsid w:val="00C13319"/>
    <w:rsid w:val="00C13EE9"/>
    <w:rsid w:val="00C21540"/>
    <w:rsid w:val="00C21906"/>
    <w:rsid w:val="00C21BFA"/>
    <w:rsid w:val="00C24C8D"/>
    <w:rsid w:val="00C25FE2"/>
    <w:rsid w:val="00C26B53"/>
    <w:rsid w:val="00C279B2"/>
    <w:rsid w:val="00C33E50"/>
    <w:rsid w:val="00C34B71"/>
    <w:rsid w:val="00C34C20"/>
    <w:rsid w:val="00C35A3E"/>
    <w:rsid w:val="00C42130"/>
    <w:rsid w:val="00C423A4"/>
    <w:rsid w:val="00C423E3"/>
    <w:rsid w:val="00C4433A"/>
    <w:rsid w:val="00C44BF5"/>
    <w:rsid w:val="00C521D6"/>
    <w:rsid w:val="00C53DD9"/>
    <w:rsid w:val="00C55232"/>
    <w:rsid w:val="00C553A4"/>
    <w:rsid w:val="00C55A06"/>
    <w:rsid w:val="00C55D03"/>
    <w:rsid w:val="00C575F8"/>
    <w:rsid w:val="00C60088"/>
    <w:rsid w:val="00C601BC"/>
    <w:rsid w:val="00C61954"/>
    <w:rsid w:val="00C6329F"/>
    <w:rsid w:val="00C63340"/>
    <w:rsid w:val="00C643F9"/>
    <w:rsid w:val="00C64E95"/>
    <w:rsid w:val="00C71372"/>
    <w:rsid w:val="00C7140C"/>
    <w:rsid w:val="00C72410"/>
    <w:rsid w:val="00C7287F"/>
    <w:rsid w:val="00C80CB8"/>
    <w:rsid w:val="00C819F8"/>
    <w:rsid w:val="00C8248C"/>
    <w:rsid w:val="00C84690"/>
    <w:rsid w:val="00C84E33"/>
    <w:rsid w:val="00C86D6F"/>
    <w:rsid w:val="00C905FC"/>
    <w:rsid w:val="00C92D03"/>
    <w:rsid w:val="00C92F9C"/>
    <w:rsid w:val="00C9319C"/>
    <w:rsid w:val="00C9435D"/>
    <w:rsid w:val="00C9457E"/>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4B96"/>
    <w:rsid w:val="00CD50A1"/>
    <w:rsid w:val="00CD519E"/>
    <w:rsid w:val="00CE0C4F"/>
    <w:rsid w:val="00CE30EA"/>
    <w:rsid w:val="00CE4A8B"/>
    <w:rsid w:val="00CE61DD"/>
    <w:rsid w:val="00CE6708"/>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34D0"/>
    <w:rsid w:val="00D2458F"/>
    <w:rsid w:val="00D25E37"/>
    <w:rsid w:val="00D2661A"/>
    <w:rsid w:val="00D27582"/>
    <w:rsid w:val="00D27EC4"/>
    <w:rsid w:val="00D32719"/>
    <w:rsid w:val="00D33333"/>
    <w:rsid w:val="00D341DA"/>
    <w:rsid w:val="00D352A2"/>
    <w:rsid w:val="00D4162B"/>
    <w:rsid w:val="00D4514F"/>
    <w:rsid w:val="00D451E2"/>
    <w:rsid w:val="00D45E89"/>
    <w:rsid w:val="00D45E8D"/>
    <w:rsid w:val="00D466AE"/>
    <w:rsid w:val="00D4734F"/>
    <w:rsid w:val="00D51BF3"/>
    <w:rsid w:val="00D531FF"/>
    <w:rsid w:val="00D53FA5"/>
    <w:rsid w:val="00D61349"/>
    <w:rsid w:val="00D66846"/>
    <w:rsid w:val="00D675FB"/>
    <w:rsid w:val="00D71F25"/>
    <w:rsid w:val="00D72A9C"/>
    <w:rsid w:val="00D77031"/>
    <w:rsid w:val="00D816F7"/>
    <w:rsid w:val="00D84941"/>
    <w:rsid w:val="00D84FA1"/>
    <w:rsid w:val="00D851F0"/>
    <w:rsid w:val="00D86DB7"/>
    <w:rsid w:val="00D87BF5"/>
    <w:rsid w:val="00D90721"/>
    <w:rsid w:val="00D926D0"/>
    <w:rsid w:val="00D93030"/>
    <w:rsid w:val="00D950E1"/>
    <w:rsid w:val="00D952A6"/>
    <w:rsid w:val="00D97E43"/>
    <w:rsid w:val="00D97F99"/>
    <w:rsid w:val="00DA1E08"/>
    <w:rsid w:val="00DA24F8"/>
    <w:rsid w:val="00DA28E8"/>
    <w:rsid w:val="00DA38D3"/>
    <w:rsid w:val="00DA3932"/>
    <w:rsid w:val="00DA3AFC"/>
    <w:rsid w:val="00DA5AA6"/>
    <w:rsid w:val="00DA64F8"/>
    <w:rsid w:val="00DA6C15"/>
    <w:rsid w:val="00DB0258"/>
    <w:rsid w:val="00DB38EE"/>
    <w:rsid w:val="00DB498B"/>
    <w:rsid w:val="00DB66CA"/>
    <w:rsid w:val="00DB6BCA"/>
    <w:rsid w:val="00DB6F54"/>
    <w:rsid w:val="00DB73F7"/>
    <w:rsid w:val="00DC0321"/>
    <w:rsid w:val="00DC1AE7"/>
    <w:rsid w:val="00DC3067"/>
    <w:rsid w:val="00DC370B"/>
    <w:rsid w:val="00DC5B90"/>
    <w:rsid w:val="00DC7712"/>
    <w:rsid w:val="00DC7D79"/>
    <w:rsid w:val="00DD00FF"/>
    <w:rsid w:val="00DD0619"/>
    <w:rsid w:val="00DD07FB"/>
    <w:rsid w:val="00DD1983"/>
    <w:rsid w:val="00DD25C6"/>
    <w:rsid w:val="00DD4FE5"/>
    <w:rsid w:val="00DD54B0"/>
    <w:rsid w:val="00DD57EE"/>
    <w:rsid w:val="00DD5C47"/>
    <w:rsid w:val="00DD6BCC"/>
    <w:rsid w:val="00DE0A4B"/>
    <w:rsid w:val="00DE2410"/>
    <w:rsid w:val="00DE2939"/>
    <w:rsid w:val="00DE4265"/>
    <w:rsid w:val="00DE6E81"/>
    <w:rsid w:val="00DE703F"/>
    <w:rsid w:val="00DE7595"/>
    <w:rsid w:val="00DF1961"/>
    <w:rsid w:val="00DF44DE"/>
    <w:rsid w:val="00DF4F55"/>
    <w:rsid w:val="00E0055C"/>
    <w:rsid w:val="00E01138"/>
    <w:rsid w:val="00E02DFB"/>
    <w:rsid w:val="00E030F9"/>
    <w:rsid w:val="00E0311A"/>
    <w:rsid w:val="00E03138"/>
    <w:rsid w:val="00E06404"/>
    <w:rsid w:val="00E1052D"/>
    <w:rsid w:val="00E11A85"/>
    <w:rsid w:val="00E12495"/>
    <w:rsid w:val="00E15CCD"/>
    <w:rsid w:val="00E202EF"/>
    <w:rsid w:val="00E210B5"/>
    <w:rsid w:val="00E2552F"/>
    <w:rsid w:val="00E3137A"/>
    <w:rsid w:val="00E32CCF"/>
    <w:rsid w:val="00E34A98"/>
    <w:rsid w:val="00E35D1E"/>
    <w:rsid w:val="00E364F9"/>
    <w:rsid w:val="00E365FA"/>
    <w:rsid w:val="00E36789"/>
    <w:rsid w:val="00E40979"/>
    <w:rsid w:val="00E430E4"/>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A17"/>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5A8A"/>
    <w:rsid w:val="00EA61BC"/>
    <w:rsid w:val="00EA681A"/>
    <w:rsid w:val="00EA6A3F"/>
    <w:rsid w:val="00EA735B"/>
    <w:rsid w:val="00EB1E69"/>
    <w:rsid w:val="00EB2086"/>
    <w:rsid w:val="00EB31ED"/>
    <w:rsid w:val="00EB5EDF"/>
    <w:rsid w:val="00EB60FE"/>
    <w:rsid w:val="00EB74DB"/>
    <w:rsid w:val="00EC274B"/>
    <w:rsid w:val="00EC5359"/>
    <w:rsid w:val="00EC562A"/>
    <w:rsid w:val="00ED067A"/>
    <w:rsid w:val="00ED1FD4"/>
    <w:rsid w:val="00ED2B50"/>
    <w:rsid w:val="00EE0350"/>
    <w:rsid w:val="00EE0719"/>
    <w:rsid w:val="00EE0795"/>
    <w:rsid w:val="00EE0E80"/>
    <w:rsid w:val="00EE613F"/>
    <w:rsid w:val="00EE7295"/>
    <w:rsid w:val="00EE7869"/>
    <w:rsid w:val="00EF054A"/>
    <w:rsid w:val="00EF3235"/>
    <w:rsid w:val="00EF7E72"/>
    <w:rsid w:val="00F05189"/>
    <w:rsid w:val="00F06D37"/>
    <w:rsid w:val="00F07B9D"/>
    <w:rsid w:val="00F11586"/>
    <w:rsid w:val="00F1183B"/>
    <w:rsid w:val="00F11C9F"/>
    <w:rsid w:val="00F12263"/>
    <w:rsid w:val="00F12B45"/>
    <w:rsid w:val="00F1409D"/>
    <w:rsid w:val="00F14214"/>
    <w:rsid w:val="00F157A9"/>
    <w:rsid w:val="00F15816"/>
    <w:rsid w:val="00F158B4"/>
    <w:rsid w:val="00F16F00"/>
    <w:rsid w:val="00F21AA1"/>
    <w:rsid w:val="00F25BB6"/>
    <w:rsid w:val="00F26B7E"/>
    <w:rsid w:val="00F27A3B"/>
    <w:rsid w:val="00F32780"/>
    <w:rsid w:val="00F33817"/>
    <w:rsid w:val="00F3724D"/>
    <w:rsid w:val="00F420D5"/>
    <w:rsid w:val="00F451EA"/>
    <w:rsid w:val="00F45447"/>
    <w:rsid w:val="00F456C6"/>
    <w:rsid w:val="00F4577B"/>
    <w:rsid w:val="00F461D7"/>
    <w:rsid w:val="00F46496"/>
    <w:rsid w:val="00F474D0"/>
    <w:rsid w:val="00F50179"/>
    <w:rsid w:val="00F515EE"/>
    <w:rsid w:val="00F56511"/>
    <w:rsid w:val="00F6194E"/>
    <w:rsid w:val="00F623AC"/>
    <w:rsid w:val="00F6412A"/>
    <w:rsid w:val="00F64478"/>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21D0"/>
    <w:rsid w:val="00FA662D"/>
    <w:rsid w:val="00FA73B1"/>
    <w:rsid w:val="00FB0CB9"/>
    <w:rsid w:val="00FB231D"/>
    <w:rsid w:val="00FB282D"/>
    <w:rsid w:val="00FB45F1"/>
    <w:rsid w:val="00FB4A72"/>
    <w:rsid w:val="00FB54E8"/>
    <w:rsid w:val="00FB7054"/>
    <w:rsid w:val="00FC17B7"/>
    <w:rsid w:val="00FC2CB7"/>
    <w:rsid w:val="00FC4090"/>
    <w:rsid w:val="00FC43CF"/>
    <w:rsid w:val="00FC55B4"/>
    <w:rsid w:val="00FD00E6"/>
    <w:rsid w:val="00FD09A1"/>
    <w:rsid w:val="00FD2A7C"/>
    <w:rsid w:val="00FD59EB"/>
    <w:rsid w:val="00FD7299"/>
    <w:rsid w:val="00FE18FD"/>
    <w:rsid w:val="00FE1FBE"/>
    <w:rsid w:val="00FE3901"/>
    <w:rsid w:val="00FE39D3"/>
    <w:rsid w:val="00FE4BCE"/>
    <w:rsid w:val="00FE54AE"/>
    <w:rsid w:val="00FE576A"/>
    <w:rsid w:val="00FE7E79"/>
    <w:rsid w:val="00FF3E7D"/>
    <w:rsid w:val="00FF5B99"/>
    <w:rsid w:val="00FF730C"/>
    <w:rsid w:val="00FF73F4"/>
    <w:rsid w:val="00FF7CE4"/>
    <w:rsid w:val="00FF7E39"/>
    <w:rsid w:val="05A84572"/>
    <w:rsid w:val="07470491"/>
    <w:rsid w:val="160B2613"/>
    <w:rsid w:val="191306DF"/>
    <w:rsid w:val="2C0C4FAB"/>
    <w:rsid w:val="2E254102"/>
    <w:rsid w:val="2F0106CB"/>
    <w:rsid w:val="4CF82CB6"/>
    <w:rsid w:val="524F46A4"/>
    <w:rsid w:val="6309287E"/>
    <w:rsid w:val="6999660E"/>
    <w:rsid w:val="6C7F2654"/>
    <w:rsid w:val="71557E27"/>
    <w:rsid w:val="74FF3D04"/>
    <w:rsid w:val="7EE546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Char"/>
    <w:link w:val="2"/>
    <w:qFormat/>
    <w:uiPriority w:val="0"/>
    <w:rPr>
      <w:b/>
      <w:bCs/>
      <w:kern w:val="44"/>
      <w:sz w:val="44"/>
      <w:szCs w:val="44"/>
    </w:rPr>
  </w:style>
  <w:style w:type="character" w:customStyle="1" w:styleId="35">
    <w:name w:val="标题 2 Char"/>
    <w:link w:val="3"/>
    <w:qFormat/>
    <w:uiPriority w:val="0"/>
    <w:rPr>
      <w:rFonts w:ascii="Arial" w:hAnsi="Arial" w:eastAsia="黑体"/>
      <w:b/>
      <w:bCs/>
      <w:kern w:val="2"/>
      <w:sz w:val="32"/>
      <w:szCs w:val="32"/>
    </w:rPr>
  </w:style>
  <w:style w:type="character" w:customStyle="1" w:styleId="36">
    <w:name w:val="标题 3 Char"/>
    <w:link w:val="4"/>
    <w:qFormat/>
    <w:uiPriority w:val="0"/>
    <w:rPr>
      <w:b/>
      <w:bCs/>
      <w:kern w:val="2"/>
      <w:sz w:val="32"/>
      <w:szCs w:val="32"/>
    </w:rPr>
  </w:style>
  <w:style w:type="character" w:customStyle="1" w:styleId="37">
    <w:name w:val="标题 4 Char"/>
    <w:link w:val="5"/>
    <w:qFormat/>
    <w:uiPriority w:val="0"/>
    <w:rPr>
      <w:rFonts w:ascii="Arial" w:hAnsi="Arial" w:eastAsia="黑体"/>
      <w:b/>
      <w:bCs/>
      <w:kern w:val="2"/>
      <w:sz w:val="28"/>
      <w:szCs w:val="28"/>
    </w:rPr>
  </w:style>
  <w:style w:type="character" w:customStyle="1" w:styleId="38">
    <w:name w:val="标题 5 Char"/>
    <w:link w:val="6"/>
    <w:qFormat/>
    <w:uiPriority w:val="0"/>
    <w:rPr>
      <w:b/>
      <w:bCs/>
      <w:kern w:val="2"/>
      <w:sz w:val="28"/>
      <w:szCs w:val="28"/>
    </w:rPr>
  </w:style>
  <w:style w:type="character" w:customStyle="1" w:styleId="39">
    <w:name w:val="标题 6 Char"/>
    <w:link w:val="7"/>
    <w:qFormat/>
    <w:uiPriority w:val="0"/>
    <w:rPr>
      <w:rFonts w:ascii="Arial" w:hAnsi="Arial" w:eastAsia="黑体"/>
      <w:b/>
      <w:bCs/>
      <w:kern w:val="2"/>
      <w:sz w:val="24"/>
      <w:szCs w:val="24"/>
    </w:rPr>
  </w:style>
  <w:style w:type="character" w:customStyle="1" w:styleId="40">
    <w:name w:val="标题 7 Char"/>
    <w:link w:val="8"/>
    <w:qFormat/>
    <w:uiPriority w:val="0"/>
    <w:rPr>
      <w:b/>
      <w:bCs/>
      <w:kern w:val="2"/>
      <w:sz w:val="24"/>
      <w:szCs w:val="24"/>
    </w:rPr>
  </w:style>
  <w:style w:type="character" w:customStyle="1" w:styleId="41">
    <w:name w:val="标题 8 Char"/>
    <w:link w:val="9"/>
    <w:qFormat/>
    <w:uiPriority w:val="0"/>
    <w:rPr>
      <w:rFonts w:ascii="Arial" w:hAnsi="Arial" w:eastAsia="黑体"/>
      <w:kern w:val="2"/>
      <w:sz w:val="24"/>
      <w:szCs w:val="24"/>
    </w:rPr>
  </w:style>
  <w:style w:type="character" w:customStyle="1" w:styleId="42">
    <w:name w:val="标题 9 Char"/>
    <w:link w:val="10"/>
    <w:qFormat/>
    <w:uiPriority w:val="0"/>
    <w:rPr>
      <w:rFonts w:ascii="Arial" w:hAnsi="Arial" w:eastAsia="黑体"/>
      <w:kern w:val="2"/>
      <w:sz w:val="21"/>
      <w:szCs w:val="21"/>
    </w:rPr>
  </w:style>
  <w:style w:type="character" w:customStyle="1" w:styleId="43">
    <w:name w:val="页眉 Char"/>
    <w:link w:val="18"/>
    <w:qFormat/>
    <w:uiPriority w:val="99"/>
    <w:rPr>
      <w:kern w:val="2"/>
      <w:sz w:val="18"/>
      <w:szCs w:val="18"/>
    </w:rPr>
  </w:style>
  <w:style w:type="character" w:customStyle="1" w:styleId="44">
    <w:name w:val="页脚 Char"/>
    <w:link w:val="17"/>
    <w:qFormat/>
    <w:uiPriority w:val="99"/>
    <w:rPr>
      <w:rFonts w:ascii="宋体"/>
      <w:kern w:val="2"/>
      <w:sz w:val="18"/>
      <w:szCs w:val="18"/>
    </w:rPr>
  </w:style>
  <w:style w:type="character" w:customStyle="1" w:styleId="45">
    <w:name w:val="批注框文本 Char"/>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Char"/>
    <w:link w:val="46"/>
    <w:qFormat/>
    <w:uiPriority w:val="29"/>
    <w:rPr>
      <w:i/>
      <w:iCs/>
      <w:color w:val="000000"/>
      <w:kern w:val="2"/>
      <w:sz w:val="21"/>
      <w:szCs w:val="21"/>
    </w:rPr>
  </w:style>
  <w:style w:type="character" w:customStyle="1" w:styleId="48">
    <w:name w:val="标题 Char"/>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Char"/>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Char"/>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6AE416EF264F5EBEA02D2E1E1AE856"/>
        <w:style w:val=""/>
        <w:category>
          <w:name w:val="常规"/>
          <w:gallery w:val="placeholder"/>
        </w:category>
        <w:types>
          <w:type w:val="bbPlcHdr"/>
        </w:types>
        <w:behaviors>
          <w:behavior w:val="content"/>
        </w:behaviors>
        <w:description w:val=""/>
        <w:guid w:val="{5D432CBC-11BB-4F28-B8D7-C9927590FA9F}"/>
      </w:docPartPr>
      <w:docPartBody>
        <w:p w14:paraId="737817DA">
          <w:pPr>
            <w:pStyle w:val="5"/>
          </w:pPr>
          <w:r>
            <w:rPr>
              <w:rStyle w:val="4"/>
              <w:rFonts w:hint="eastAsia"/>
            </w:rPr>
            <w:t>单击或点击此处输入文字。</w:t>
          </w:r>
        </w:p>
      </w:docPartBody>
    </w:docPart>
    <w:docPart>
      <w:docPartPr>
        <w:name w:val="5BD986E9918E4363ADD46E93FC27965C"/>
        <w:style w:val=""/>
        <w:category>
          <w:name w:val="常规"/>
          <w:gallery w:val="placeholder"/>
        </w:category>
        <w:types>
          <w:type w:val="bbPlcHdr"/>
        </w:types>
        <w:behaviors>
          <w:behavior w:val="content"/>
        </w:behaviors>
        <w:description w:val=""/>
        <w:guid w:val="{5E150782-E408-4EA9-988B-2EFC6BDCA588}"/>
      </w:docPartPr>
      <w:docPartBody>
        <w:p w14:paraId="4754E5C9">
          <w:pPr>
            <w:pStyle w:val="6"/>
          </w:pPr>
          <w:r>
            <w:rPr>
              <w:rStyle w:val="4"/>
              <w:rFonts w:hint="eastAsia"/>
            </w:rPr>
            <w:t>选择一项。</w:t>
          </w:r>
        </w:p>
      </w:docPartBody>
    </w:docPart>
    <w:docPart>
      <w:docPartPr>
        <w:name w:val="6DD3FCA080C44810A2B65041308D4CF5"/>
        <w:style w:val=""/>
        <w:category>
          <w:name w:val="常规"/>
          <w:gallery w:val="placeholder"/>
        </w:category>
        <w:types>
          <w:type w:val="bbPlcHdr"/>
        </w:types>
        <w:behaviors>
          <w:behavior w:val="content"/>
        </w:behaviors>
        <w:description w:val=""/>
        <w:guid w:val="{080A930E-4BA2-4B24-A0D3-17A0919809F5}"/>
      </w:docPartPr>
      <w:docPartBody>
        <w:p w14:paraId="0C90A4C6">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FD8"/>
    <w:rsid w:val="00053414"/>
    <w:rsid w:val="000B2F46"/>
    <w:rsid w:val="00127BC2"/>
    <w:rsid w:val="001F5A36"/>
    <w:rsid w:val="003144B4"/>
    <w:rsid w:val="006956FC"/>
    <w:rsid w:val="00761989"/>
    <w:rsid w:val="008E0167"/>
    <w:rsid w:val="00936E80"/>
    <w:rsid w:val="009B073D"/>
    <w:rsid w:val="00A45CCD"/>
    <w:rsid w:val="00D95945"/>
    <w:rsid w:val="00DF4FD8"/>
    <w:rsid w:val="00F97AC8"/>
    <w:rsid w:val="00FA5269"/>
    <w:rsid w:val="00FC0C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6AE416EF264F5EBEA02D2E1E1AE85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D986E9918E4363ADD46E93FC27965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6DD3FCA080C44810A2B65041308D4CF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8B47C8-7420-44C7-9022-62C8252D76C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8</Pages>
  <Words>5973</Words>
  <Characters>6290</Characters>
  <Lines>49</Lines>
  <Paragraphs>13</Paragraphs>
  <TotalTime>3</TotalTime>
  <ScaleCrop>false</ScaleCrop>
  <LinksUpToDate>false</LinksUpToDate>
  <CharactersWithSpaces>6386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2026-03-19T05:56:00Z</dcterms:created>
  <dc:creator>XU</dc:creator>
  <dc:description>&lt;config cover="true" show_menu="true" version="1.0.0" doctype="SDKXY"&gt;_x000d_
&lt;/config&gt;</dc:description>
  <cp:lastModifiedBy>王松</cp:lastModifiedBy>
  <cp:lastPrinted>2026-03-19T00:10:00Z</cp:lastPrinted>
  <dcterms:modified xsi:type="dcterms:W3CDTF">2026-04-20T07:39:20Z</dcterms:modified>
  <dc:title>团体标准</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eyJoZGlkIjoiM2E2NjQ3NWMzN2IwNjY0YWE3NmY3ZjY4Y2MzOGM2NTEiLCJ1c2VySWQiOiI4MTAwOTkxNTQifQ==</vt:lpwstr>
  </property>
  <property fmtid="{D5CDD505-2E9C-101B-9397-08002B2CF9AE}" pid="15" name="KSOProductBuildVer">
    <vt:lpwstr>2052-12.1.0.25865</vt:lpwstr>
  </property>
  <property fmtid="{D5CDD505-2E9C-101B-9397-08002B2CF9AE}" pid="16" name="ICV">
    <vt:lpwstr>0D06585827DE4B33BBE7C6EC83783DF4_13</vt:lpwstr>
  </property>
  <property fmtid="{D5CDD505-2E9C-101B-9397-08002B2CF9AE}" pid="17" name="_DocHome">
    <vt:i4>-2029265479</vt:i4>
  </property>
</Properties>
</file>