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sz w:val="24"/>
          <w:szCs w:val="24"/>
        </w:rPr>
      </w:pPr>
      <w:r>
        <w:rPr>
          <w:rFonts w:hint="eastAsia" w:ascii="宋体" w:hAnsi="宋体" w:eastAsia="宋体" w:cs="宋体"/>
          <w:b/>
          <w:i w:val="0"/>
          <w:caps w:val="0"/>
          <w:color w:val="333399"/>
          <w:spacing w:val="0"/>
          <w:sz w:val="24"/>
          <w:szCs w:val="24"/>
          <w:bdr w:val="none" w:color="auto" w:sz="0" w:space="0"/>
          <w:shd w:val="clear" w:fill="FFFFFF"/>
        </w:rPr>
        <w:t>关于印发不同人群预防新型冠状病毒感染口罩选择与使用技术指引的通知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99"/>
          <w:spacing w:val="0"/>
          <w:sz w:val="24"/>
          <w:szCs w:val="24"/>
          <w:bdr w:val="none" w:color="auto" w:sz="0" w:space="0"/>
          <w:shd w:val="clear" w:fill="FFFFFF"/>
        </w:rPr>
        <w:t>肺炎机制发〔2020〕20号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各省、自治区、直辖市及新疆生产建设兵团应对新型冠状病毒感染的肺炎疫情联防联控机制（领导小组、指挥部）：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在新型冠状病毒感染的肺炎流行期间，为指导不同人群科学合理地选择和使用口罩，严防新型冠状病毒感染的肺炎疫情蔓延和扩散，制定了《不同人群预防新型冠状病毒感染口罩选择和使用技术指引》。现印发给你们，请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国务院应对新型冠状病毒感染的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肺 炎 疫 情 联 防 联 控 机 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（代  章）</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2020年2月4日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bookmarkStart w:id="0" w:name="_GoBack"/>
      <w:r>
        <w:rPr>
          <w:rFonts w:hint="eastAsia" w:ascii="宋体" w:hAnsi="宋体" w:eastAsia="宋体" w:cs="宋体"/>
          <w:b/>
          <w:i w:val="0"/>
          <w:caps w:val="0"/>
          <w:color w:val="333333"/>
          <w:spacing w:val="0"/>
          <w:sz w:val="24"/>
          <w:szCs w:val="24"/>
          <w:bdr w:val="none" w:color="auto" w:sz="0" w:space="0"/>
          <w:shd w:val="clear" w:fill="FFFFFF"/>
        </w:rPr>
        <w:t>不同人群预防新型冠状病毒感染口罩选择与使用技术指引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在新型冠状病毒感染的肺炎流行期间，建议选择合适的口罩类型，不过度防护。按防疫工作性质和风险等级提出以下指引：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一、高风险暴露人员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（一）人员类别：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1.在收治新型冠状病毒肺炎患者（确诊病例、疑似病例）的病房、ICU和留观室工作的所有工作人员，包括临床医师、护士、护工、清洁工、尸体处理人员等；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2.疫区指定医疗机构发热门诊的医生和护士；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3.对确诊病例、疑似病例进行流行病学调查的公共卫生医师。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（二）防护建议：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1.医用防护口罩；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2.在感染患者的急救和从事气管插管、气管镜检查时加戴护目镜或防护面屏；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3.医用防护口罩短缺时，可选用符合N95/KN95及以上标准颗粒物防护口罩替代，也可选用自吸过滤式呼吸器（全面型或半面型）配防颗粒物的滤棉，动力送风过滤式呼吸器的防护效果更佳。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二、较高风险暴露人员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（一）人员类别：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1.急诊科工作医护人员等；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2.对密切接触人员开展流行病学调查的公共卫生医师；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3.疫情相关的环境和生物样本检测人员。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（二）防护建议：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符合N95/KN95及以上标准的颗粒物防护口罩；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三、中等风险暴露人员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（一）人员类别：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1.普通门诊、病房工作医护人员等；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2.人员密集场所的工作人员，包括医院、机场、火车站、地铁、地面公交、飞机、火车、超市、餐厅等相对密闭场所的工作人员；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3.从事与疫情相关的行政管理、警察、保安、快递等从业人员；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4.居家隔离及与其共同生活人员。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（二）防护建议：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佩戴医用外科口罩。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四、较低风险暴露人员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（一）人员类别：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 超市、商场、交通工具、电梯等人员密集区的公众；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 室内办公环境；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 医疗机构就诊（除发热门诊）的患者；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 集中学习和活动的托幼机构儿童、在校学生等。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(二)防护建议。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佩戴一次性使用医用口罩（儿童选用性能相当产品）。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五、低风险暴露人员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（一）人员类别。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1.居家室内活动、散居居民；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2.户外活动者，包括空旷场所/场地的儿童、学生；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3.通风良好工作场所工作者。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（二）防护建议。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居家、通风良好和人员密度低的场所也可不佩戴口罩。非医用口罩，如棉纱、活性炭和海绵等口罩具有一定防护效果，也有降低咳嗽、喷嚏和说话等产生的飞沫播散的作用，可视情选用。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六、使用事项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在新型冠状病毒感染的肺炎流行期间，在保障公众健康的前提下，可适当延长口罩使用（使用时间、使用次数）。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（一）口罩更换。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1.医用标准的防护口罩均有使用期限，口罩专人专用，人员间不能交叉使用。高风险人员在结束工作、中途进餐（饮水）、入厕等脱下防护装置后，重新进入需更换；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2.口罩被患者血液、呼吸道/鼻腔分泌物，以及其他体液污染要立即更换；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3.较高风险人员在接诊高度疑似患者后需更换；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4.其他风险类别暴露人员佩戴的口罩可反复多次使用。口罩佩戴前按规程洗手，佩戴时避免接触口罩内侧。口罩脏污、变形、损坏、有异味时需及时更换。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（二）口罩保存、清洗和消毒。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1.如需再次使用的口罩，可悬挂在洁净、干燥通风处，或将其放置在清洁、透气的纸袋中。口罩需单独存放，避免彼此接触，并标识口罩使用人员;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2.医用标准防护口罩不能清洗，也不可使用消毒剂、加热等方法进行消毒;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3.自吸过滤式呼吸器（全面型或半面型）和动力送风过滤式呼吸器的清洗参照说明书进行;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4.棉纱口罩可清洗消毒，其他非医用口罩按说明书处理。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附表：口罩类型及推荐使用人群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仿宋" w:hAnsi="仿宋" w:eastAsia="仿宋" w:cs="仿宋"/>
          <w:i w:val="0"/>
          <w:caps w:val="0"/>
          <w:color w:val="484848"/>
          <w:spacing w:val="0"/>
          <w:sz w:val="32"/>
          <w:szCs w:val="32"/>
          <w:u w:val="none"/>
        </w:rPr>
      </w:pPr>
      <w:r>
        <w:rPr>
          <w:rStyle w:val="5"/>
          <w:rFonts w:ascii="微软雅黑" w:hAnsi="微软雅黑" w:eastAsia="微软雅黑" w:cs="微软雅黑"/>
          <w:i w:val="0"/>
          <w:caps w:val="0"/>
          <w:color w:val="484848"/>
          <w:spacing w:val="0"/>
          <w:sz w:val="32"/>
          <w:szCs w:val="32"/>
          <w:u w:val="none"/>
          <w:bdr w:val="none" w:color="auto" w:sz="0" w:space="0"/>
          <w:shd w:val="clear" w:fill="FFFFFF"/>
        </w:rPr>
        <w:t>口罩类型及推荐使用人群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bdr w:val="none" w:color="auto" w:sz="0" w:space="0"/>
          <w:shd w:val="clear" w:fill="FFFFFF"/>
        </w:rPr>
        <w:t>                                                            </w:t>
      </w:r>
      <w:r>
        <w:rPr>
          <w:rFonts w:hint="eastAsia" w:ascii="仿宋" w:hAnsi="仿宋" w:eastAsia="仿宋" w:cs="仿宋"/>
          <w:i w:val="0"/>
          <w:caps w:val="0"/>
          <w:color w:val="484848"/>
          <w:spacing w:val="0"/>
          <w:sz w:val="28"/>
          <w:szCs w:val="28"/>
          <w:u w:val="none"/>
          <w:bdr w:val="none" w:color="auto" w:sz="0" w:space="0"/>
          <w:shd w:val="clear" w:fill="FFFFFF"/>
        </w:rPr>
        <w:t> O推荐使用   ✓选择使用</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434"/>
        <w:gridCol w:w="652"/>
        <w:gridCol w:w="1148"/>
        <w:gridCol w:w="1339"/>
        <w:gridCol w:w="1312"/>
        <w:gridCol w:w="1203"/>
        <w:gridCol w:w="1176"/>
        <w:gridCol w:w="12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582" w:hRule="atLeast"/>
          <w:jc w:val="center"/>
        </w:trPr>
        <w:tc>
          <w:tcPr>
            <w:tcW w:w="4248"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人群及场景</w:t>
            </w:r>
          </w:p>
        </w:tc>
        <w:tc>
          <w:tcPr>
            <w:tcW w:w="18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可不带或普通口罩</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Height w:val="0" w:hRule="atLeast"/>
              </w:trPr>
              <w:tc>
                <w:tcPr>
                  <w:tcW w:w="270" w:type="dxa"/>
                  <w:shd w:val="clear"/>
                  <w:vAlign w:val="center"/>
                </w:tcPr>
                <w:p>
                  <w:pPr>
                    <w:rPr>
                      <w:rFonts w:hint="eastAsia" w:ascii="微软雅黑" w:hAnsi="微软雅黑" w:eastAsia="微软雅黑" w:cs="微软雅黑"/>
                      <w:color w:val="484848"/>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pPr>
                    <w:rPr>
                      <w:rFonts w:hint="eastAsia" w:ascii="微软雅黑" w:hAnsi="微软雅黑" w:eastAsia="微软雅黑" w:cs="微软雅黑"/>
                      <w:color w:val="484848"/>
                      <w:sz w:val="18"/>
                      <w:szCs w:val="18"/>
                      <w:u w:val="none"/>
                    </w:rPr>
                  </w:pP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drawing>
                      <wp:inline distT="0" distB="0" distL="114300" distR="114300">
                        <wp:extent cx="638175" cy="6381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38175" cy="638175"/>
                                </a:xfrm>
                                <a:prstGeom prst="rect">
                                  <a:avLst/>
                                </a:prstGeom>
                                <a:noFill/>
                                <a:ln w="9525">
                                  <a:noFill/>
                                </a:ln>
                              </pic:spPr>
                            </pic:pic>
                          </a:graphicData>
                        </a:graphic>
                      </wp:inline>
                    </w:drawing>
                  </w: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t> </w:t>
            </w:r>
          </w:p>
        </w:tc>
        <w:tc>
          <w:tcPr>
            <w:tcW w:w="1842" w:type="dxa"/>
            <w:tcBorders>
              <w:top w:val="single" w:color="auto" w:sz="8" w:space="0"/>
              <w:left w:val="nil"/>
              <w:bottom w:val="single" w:color="auto" w:sz="8" w:space="0"/>
              <w:right w:val="single" w:color="auto" w:sz="8" w:space="0"/>
            </w:tcBorders>
            <w:shd w:val="clear"/>
            <w:tcMar>
              <w:left w:w="108" w:type="dxa"/>
              <w:right w:w="108" w:type="dxa"/>
            </w:tcMar>
            <w:vAlign w:val="center"/>
          </w:tcPr>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Height w:val="0" w:hRule="atLeast"/>
              </w:trPr>
              <w:tc>
                <w:tcPr>
                  <w:tcW w:w="135" w:type="dxa"/>
                  <w:shd w:val="clear"/>
                  <w:vAlign w:val="center"/>
                </w:tcPr>
                <w:p>
                  <w:pPr>
                    <w:rPr>
                      <w:rFonts w:hint="eastAsia" w:ascii="微软雅黑" w:hAnsi="微软雅黑" w:eastAsia="微软雅黑" w:cs="微软雅黑"/>
                      <w:color w:val="484848"/>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pPr>
                    <w:rPr>
                      <w:rFonts w:hint="eastAsia" w:ascii="微软雅黑" w:hAnsi="微软雅黑" w:eastAsia="微软雅黑" w:cs="微软雅黑"/>
                      <w:color w:val="484848"/>
                      <w:sz w:val="18"/>
                      <w:szCs w:val="18"/>
                      <w:u w:val="none"/>
                    </w:rPr>
                  </w:pP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drawing>
                      <wp:inline distT="0" distB="0" distL="114300" distR="114300">
                        <wp:extent cx="781050" cy="609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781050" cy="609600"/>
                                </a:xfrm>
                                <a:prstGeom prst="rect">
                                  <a:avLst/>
                                </a:prstGeom>
                                <a:noFill/>
                                <a:ln w="9525">
                                  <a:noFill/>
                                </a:ln>
                              </pic:spPr>
                            </pic:pic>
                          </a:graphicData>
                        </a:graphic>
                      </wp:inline>
                    </w:drawing>
                  </w: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t>一次性使用医用口罩（YY/T 0969）</w:t>
            </w:r>
          </w:p>
        </w:tc>
        <w:tc>
          <w:tcPr>
            <w:tcW w:w="18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医用外科口罩（YY 0469）</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Height w:val="0" w:hRule="atLeast"/>
              </w:trPr>
              <w:tc>
                <w:tcPr>
                  <w:tcW w:w="360" w:type="dxa"/>
                  <w:shd w:val="clear"/>
                  <w:vAlign w:val="center"/>
                </w:tcPr>
                <w:p>
                  <w:pPr>
                    <w:rPr>
                      <w:rFonts w:hint="eastAsia" w:ascii="微软雅黑" w:hAnsi="微软雅黑" w:eastAsia="微软雅黑" w:cs="微软雅黑"/>
                      <w:color w:val="484848"/>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pPr>
                    <w:rPr>
                      <w:rFonts w:hint="eastAsia" w:ascii="微软雅黑" w:hAnsi="微软雅黑" w:eastAsia="微软雅黑" w:cs="微软雅黑"/>
                      <w:color w:val="484848"/>
                      <w:sz w:val="18"/>
                      <w:szCs w:val="18"/>
                      <w:u w:val="none"/>
                    </w:rPr>
                  </w:pP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drawing>
                      <wp:inline distT="0" distB="0" distL="114300" distR="114300">
                        <wp:extent cx="762000" cy="6191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762000" cy="619125"/>
                                </a:xfrm>
                                <a:prstGeom prst="rect">
                                  <a:avLst/>
                                </a:prstGeom>
                                <a:noFill/>
                                <a:ln w="9525">
                                  <a:noFill/>
                                </a:ln>
                              </pic:spPr>
                            </pic:pic>
                          </a:graphicData>
                        </a:graphic>
                      </wp:inline>
                    </w:drawing>
                  </w: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t> </w:t>
            </w:r>
          </w:p>
        </w:tc>
        <w:tc>
          <w:tcPr>
            <w:tcW w:w="1527" w:type="dxa"/>
            <w:tcBorders>
              <w:top w:val="single" w:color="auto" w:sz="8" w:space="0"/>
              <w:left w:val="nil"/>
              <w:bottom w:val="single" w:color="auto" w:sz="8" w:space="0"/>
              <w:right w:val="single" w:color="auto" w:sz="8" w:space="0"/>
            </w:tcBorders>
            <w:shd w:val="clear"/>
            <w:tcMar>
              <w:left w:w="108" w:type="dxa"/>
              <w:right w:w="108" w:type="dxa"/>
            </w:tcMar>
            <w:vAlign w:val="center"/>
          </w:tcPr>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Height w:val="0" w:hRule="atLeast"/>
              </w:trPr>
              <w:tc>
                <w:tcPr>
                  <w:tcW w:w="6" w:type="dxa"/>
                  <w:shd w:val="clear"/>
                  <w:vAlign w:val="center"/>
                </w:tcPr>
                <w:p>
                  <w:pPr>
                    <w:rPr>
                      <w:rFonts w:hint="eastAsia" w:ascii="微软雅黑" w:hAnsi="微软雅黑" w:eastAsia="微软雅黑" w:cs="微软雅黑"/>
                      <w:color w:val="484848"/>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pPr>
                    <w:rPr>
                      <w:rFonts w:hint="eastAsia" w:ascii="微软雅黑" w:hAnsi="微软雅黑" w:eastAsia="微软雅黑" w:cs="微软雅黑"/>
                      <w:color w:val="484848"/>
                      <w:sz w:val="18"/>
                      <w:szCs w:val="18"/>
                      <w:u w:val="none"/>
                    </w:rPr>
                  </w:pP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drawing>
                      <wp:inline distT="0" distB="0" distL="114300" distR="114300">
                        <wp:extent cx="685800" cy="6667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85800" cy="666750"/>
                                </a:xfrm>
                                <a:prstGeom prst="rect">
                                  <a:avLst/>
                                </a:prstGeom>
                                <a:noFill/>
                                <a:ln w="9525">
                                  <a:noFill/>
                                </a:ln>
                              </pic:spPr>
                            </pic:pic>
                          </a:graphicData>
                        </a:graphic>
                      </wp:inline>
                    </w:drawing>
                  </w: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t>颗粒物防护口罩（</w:t>
            </w:r>
            <w:r>
              <w:rPr>
                <w:rFonts w:hint="default" w:ascii="Times New Roman" w:hAnsi="Times New Roman" w:eastAsia="微软雅黑" w:cs="Times New Roman"/>
                <w:color w:val="484848"/>
                <w:kern w:val="0"/>
                <w:sz w:val="18"/>
                <w:szCs w:val="18"/>
                <w:u w:val="none"/>
                <w:bdr w:val="none" w:color="auto" w:sz="0" w:space="0"/>
                <w:lang w:val="en-US" w:eastAsia="zh-CN" w:bidi="ar"/>
              </w:rPr>
              <w:t>GB 2626</w:t>
            </w:r>
            <w:r>
              <w:rPr>
                <w:rFonts w:ascii="华文仿宋" w:hAnsi="华文仿宋" w:eastAsia="华文仿宋" w:cs="华文仿宋"/>
                <w:color w:val="484848"/>
                <w:kern w:val="0"/>
                <w:sz w:val="18"/>
                <w:szCs w:val="18"/>
                <w:u w:val="none"/>
                <w:bdr w:val="none" w:color="auto" w:sz="0" w:space="0"/>
                <w:lang w:val="en-US" w:eastAsia="zh-CN" w:bidi="ar"/>
              </w:rPr>
              <w:t>）</w:t>
            </w:r>
          </w:p>
        </w:tc>
        <w:tc>
          <w:tcPr>
            <w:tcW w:w="14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医用防护口罩（GB 19083）</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Height w:val="0" w:hRule="atLeast"/>
              </w:trPr>
              <w:tc>
                <w:tcPr>
                  <w:tcW w:w="45" w:type="dxa"/>
                  <w:shd w:val="clear"/>
                  <w:vAlign w:val="center"/>
                </w:tcPr>
                <w:p>
                  <w:pPr>
                    <w:rPr>
                      <w:rFonts w:hint="eastAsia" w:ascii="微软雅黑" w:hAnsi="微软雅黑" w:eastAsia="微软雅黑" w:cs="微软雅黑"/>
                      <w:color w:val="484848"/>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pPr>
                    <w:rPr>
                      <w:rFonts w:hint="eastAsia" w:ascii="微软雅黑" w:hAnsi="微软雅黑" w:eastAsia="微软雅黑" w:cs="微软雅黑"/>
                      <w:color w:val="484848"/>
                      <w:sz w:val="18"/>
                      <w:szCs w:val="18"/>
                      <w:u w:val="none"/>
                    </w:rPr>
                  </w:pP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drawing>
                      <wp:inline distT="0" distB="0" distL="114300" distR="114300">
                        <wp:extent cx="666750" cy="61912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666750" cy="619125"/>
                                </a:xfrm>
                                <a:prstGeom prst="rect">
                                  <a:avLst/>
                                </a:prstGeom>
                                <a:noFill/>
                                <a:ln w="9525">
                                  <a:noFill/>
                                </a:ln>
                              </pic:spPr>
                            </pic:pic>
                          </a:graphicData>
                        </a:graphic>
                      </wp:inline>
                    </w:drawing>
                  </w: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t> </w:t>
            </w:r>
          </w:p>
        </w:tc>
        <w:tc>
          <w:tcPr>
            <w:tcW w:w="141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防护面具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Height w:val="0" w:hRule="atLeast"/>
              </w:trPr>
              <w:tc>
                <w:tcPr>
                  <w:tcW w:w="13" w:type="dxa"/>
                  <w:shd w:val="clear"/>
                  <w:vAlign w:val="center"/>
                </w:tcPr>
                <w:p>
                  <w:pPr>
                    <w:rPr>
                      <w:rFonts w:hint="eastAsia" w:ascii="微软雅黑" w:hAnsi="微软雅黑" w:eastAsia="微软雅黑" w:cs="微软雅黑"/>
                      <w:color w:val="484848"/>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pPr>
                    <w:rPr>
                      <w:rFonts w:hint="eastAsia" w:ascii="微软雅黑" w:hAnsi="微软雅黑" w:eastAsia="微软雅黑" w:cs="微软雅黑"/>
                      <w:color w:val="484848"/>
                      <w:sz w:val="18"/>
                      <w:szCs w:val="18"/>
                      <w:u w:val="none"/>
                    </w:rPr>
                  </w:pP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drawing>
                      <wp:inline distT="0" distB="0" distL="114300" distR="114300">
                        <wp:extent cx="723900" cy="6286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723900" cy="628650"/>
                                </a:xfrm>
                                <a:prstGeom prst="rect">
                                  <a:avLst/>
                                </a:prstGeom>
                                <a:noFill/>
                                <a:ln w="9525">
                                  <a:noFill/>
                                </a:ln>
                              </pic:spPr>
                            </pic:pic>
                          </a:graphicData>
                        </a:graphic>
                      </wp:inline>
                    </w:drawing>
                  </w: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84848"/>
                <w:sz w:val="18"/>
                <w:szCs w:val="18"/>
                <w:u w:val="none"/>
              </w:rPr>
            </w:pPr>
            <w:r>
              <w:rPr>
                <w:rFonts w:hint="eastAsia" w:ascii="微软雅黑" w:hAnsi="微软雅黑" w:eastAsia="微软雅黑" w:cs="微软雅黑"/>
                <w:color w:val="484848"/>
                <w:kern w:val="0"/>
                <w:sz w:val="18"/>
                <w:szCs w:val="18"/>
                <w:u w:val="none"/>
                <w:bdr w:val="none" w:color="auto" w:sz="0" w:space="0"/>
                <w:lang w:val="en-US" w:eastAsia="zh-CN" w:bidi="ar"/>
              </w:rPr>
              <w:t>(</w:t>
            </w:r>
            <w:r>
              <w:rPr>
                <w:rFonts w:hint="eastAsia" w:ascii="华文仿宋" w:hAnsi="华文仿宋" w:eastAsia="华文仿宋" w:cs="华文仿宋"/>
                <w:color w:val="484848"/>
                <w:kern w:val="0"/>
                <w:sz w:val="18"/>
                <w:szCs w:val="18"/>
                <w:u w:val="none"/>
                <w:bdr w:val="none" w:color="auto" w:sz="0" w:space="0"/>
                <w:lang w:val="en-US" w:eastAsia="zh-CN" w:bidi="ar"/>
              </w:rPr>
              <w:t>加</w:t>
            </w:r>
            <w:r>
              <w:rPr>
                <w:rFonts w:hint="default" w:ascii="Times New Roman" w:hAnsi="Times New Roman" w:eastAsia="微软雅黑" w:cs="Times New Roman"/>
                <w:color w:val="484848"/>
                <w:kern w:val="0"/>
                <w:sz w:val="18"/>
                <w:szCs w:val="18"/>
                <w:u w:val="none"/>
                <w:bdr w:val="none" w:color="auto" w:sz="0" w:space="0"/>
                <w:lang w:val="en-US" w:eastAsia="zh-CN" w:bidi="ar"/>
              </w:rPr>
              <w:t>P100</w:t>
            </w:r>
            <w:r>
              <w:rPr>
                <w:rFonts w:hint="eastAsia" w:ascii="华文仿宋" w:hAnsi="华文仿宋" w:eastAsia="华文仿宋" w:cs="华文仿宋"/>
                <w:color w:val="484848"/>
                <w:kern w:val="0"/>
                <w:sz w:val="18"/>
                <w:szCs w:val="18"/>
                <w:u w:val="none"/>
                <w:bdr w:val="none" w:color="auto" w:sz="0" w:space="0"/>
                <w:lang w:val="en-US" w:eastAsia="zh-CN" w:bidi="ar"/>
              </w:rPr>
              <w:t>滤棉</w:t>
            </w:r>
            <w:r>
              <w:rPr>
                <w:rFonts w:hint="default" w:ascii="Times New Roman" w:hAnsi="Times New Roman" w:eastAsia="微软雅黑" w:cs="Times New Roman"/>
                <w:color w:val="484848"/>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高风险</w:t>
            </w: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疫区发热门诊</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41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隔离病房医护人员</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插管、切开等高危医务工作者</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隔离</w:t>
            </w:r>
            <w:r>
              <w:rPr>
                <w:rFonts w:hint="eastAsia" w:ascii="华文仿宋" w:hAnsi="华文仿宋" w:eastAsia="华文仿宋" w:cs="华文仿宋"/>
                <w:color w:val="000000"/>
                <w:kern w:val="0"/>
                <w:sz w:val="24"/>
                <w:szCs w:val="24"/>
                <w:u w:val="none"/>
                <w:bdr w:val="none" w:color="auto" w:sz="0" w:space="0"/>
                <w:lang w:val="en-US" w:eastAsia="zh-CN" w:bidi="ar"/>
              </w:rPr>
              <w:t>区</w:t>
            </w:r>
            <w:r>
              <w:rPr>
                <w:rFonts w:hint="eastAsia" w:ascii="微软雅黑" w:hAnsi="微软雅黑" w:eastAsia="微软雅黑" w:cs="微软雅黑"/>
                <w:color w:val="484848"/>
                <w:kern w:val="0"/>
                <w:sz w:val="24"/>
                <w:szCs w:val="24"/>
                <w:u w:val="none"/>
                <w:bdr w:val="none" w:color="auto" w:sz="0" w:space="0"/>
                <w:lang w:val="en-US" w:eastAsia="zh-CN" w:bidi="ar"/>
              </w:rPr>
              <w:t>服务人员（清洁、尸体处置等）</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对确诊、疑似现场流行病学调查人员</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较高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风险</w:t>
            </w: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急诊工作医护人员</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对密切接触人员开展流行病学调查人员</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对疫情相关样本进行检测人员</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中等风险</w:t>
            </w: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普通门诊、病房工作医护人员等</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人员密集区的工作人员</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从事与疫情相关的行政管理、警察、保安、快递等从业人员</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居家隔离及与其共同生活人员</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较低风险</w:t>
            </w: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在人员密集场所滞留的公众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人员相对聚集的室内工作环境</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前往医疗机构就诊的公众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集中学习和活动的托幼机构儿童、在校学生等。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低风险</w:t>
            </w: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居家活动、散居居民</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户外活动者</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421"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c>
          <w:tcPr>
            <w:tcW w:w="3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通风良好场所的工作者、儿童和学生等</w:t>
            </w:r>
          </w:p>
        </w:tc>
        <w:tc>
          <w:tcPr>
            <w:tcW w:w="1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b/>
                <w:color w:val="484848"/>
                <w:kern w:val="0"/>
                <w:sz w:val="24"/>
                <w:szCs w:val="24"/>
                <w:u w:val="none"/>
                <w:bdr w:val="none" w:color="auto" w:sz="0" w:space="0"/>
                <w:lang w:val="en-US" w:eastAsia="zh-CN" w:bidi="ar"/>
              </w:rPr>
              <w:t>⃝</w:t>
            </w:r>
          </w:p>
        </w:tc>
        <w:tc>
          <w:tcPr>
            <w:tcW w:w="1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8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5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kern w:val="0"/>
                <w:sz w:val="24"/>
                <w:szCs w:val="24"/>
                <w:u w:val="none"/>
                <w:bdr w:val="none" w:color="auto" w:sz="0" w:space="0"/>
                <w:lang w:val="en-US" w:eastAsia="zh-CN" w:bidi="ar"/>
              </w:rPr>
              <w:t> </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484848"/>
                <w:sz w:val="18"/>
                <w:szCs w:val="1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E0EF6"/>
    <w:rsid w:val="7A9E0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2020-03-13T16:49:00Z</dcterms:created>
  <dc:creator>Administrator</dc:creator>
  <cp:lastModifiedBy>Administrator</cp:lastModifiedBy>
  <dcterms:modified xsi:type="dcterms:W3CDTF">2020-03-13T16:50:15Z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